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sz w:val="24"/>
        </w:rPr>
      </w:pPr>
      <w:r>
        <w:rPr>
          <w:rFonts w:hint="eastAsia"/>
          <w:b/>
          <w:sz w:val="28"/>
        </w:rPr>
        <w:t>宣传片</w:t>
      </w:r>
      <w:r>
        <w:rPr>
          <w:rFonts w:hint="eastAsia"/>
          <w:b/>
          <w:sz w:val="28"/>
          <w:lang w:eastAsia="zh-CN"/>
        </w:rPr>
        <w:t>、户型</w:t>
      </w:r>
      <w:r>
        <w:rPr>
          <w:rFonts w:hint="eastAsia"/>
          <w:b/>
          <w:sz w:val="28"/>
          <w:lang w:val="en-US" w:eastAsia="zh-CN"/>
        </w:rPr>
        <w:t>VR</w:t>
      </w:r>
      <w:r>
        <w:rPr>
          <w:rFonts w:hint="eastAsia"/>
          <w:b/>
          <w:sz w:val="28"/>
          <w:lang w:eastAsia="zh-CN"/>
        </w:rPr>
        <w:t>及</w:t>
      </w:r>
      <w:r>
        <w:rPr>
          <w:rFonts w:hint="eastAsia"/>
          <w:b/>
          <w:sz w:val="28"/>
          <w:lang w:val="en-US" w:eastAsia="zh-CN"/>
        </w:rPr>
        <w:t>VR看房系统PC版制作采购</w:t>
      </w:r>
      <w:r>
        <w:rPr>
          <w:rFonts w:hint="eastAsia"/>
          <w:b/>
          <w:sz w:val="28"/>
        </w:rPr>
        <w:t>招标函</w:t>
      </w:r>
    </w:p>
    <w:p>
      <w:pPr>
        <w:spacing w:after="0" w:line="220" w:lineRule="atLeast"/>
        <w:rPr>
          <w:sz w:val="21"/>
        </w:rPr>
      </w:pPr>
      <w:r>
        <w:rPr>
          <w:rFonts w:hint="eastAsia"/>
          <w:sz w:val="21"/>
        </w:rPr>
        <w:t>敬启者：</w:t>
      </w:r>
    </w:p>
    <w:p>
      <w:pPr>
        <w:spacing w:after="100" w:afterAutospacing="1" w:line="220" w:lineRule="atLeast"/>
        <w:rPr>
          <w:sz w:val="21"/>
        </w:rPr>
      </w:pPr>
      <w:r>
        <w:rPr>
          <w:rFonts w:hint="eastAsia"/>
          <w:sz w:val="21"/>
        </w:rPr>
        <w:t xml:space="preserve">      为进一步提升</w:t>
      </w:r>
      <w:r>
        <w:rPr>
          <w:rFonts w:hint="eastAsia"/>
          <w:sz w:val="21"/>
          <w:lang w:val="en-US" w:eastAsia="zh-CN"/>
        </w:rPr>
        <w:t>宣城城建房地产营销策划有限公司所代理的项目品</w:t>
      </w:r>
      <w:r>
        <w:rPr>
          <w:rFonts w:hint="eastAsia"/>
          <w:sz w:val="21"/>
        </w:rPr>
        <w:t>牌形象和项目宣传品质，拟与优秀宣传片类供应商建立合作伙伴关系，本次招标过程我们将本着公开透明的原则，期待与您的合作，也真诚地感谢您的参与。</w:t>
      </w:r>
    </w:p>
    <w:p>
      <w:pPr>
        <w:numPr>
          <w:ilvl w:val="0"/>
          <w:numId w:val="0"/>
        </w:numPr>
        <w:spacing w:after="100" w:afterAutospacing="1"/>
        <w:rPr>
          <w:rFonts w:hint="eastAsia"/>
          <w:b/>
          <w:bCs/>
          <w:sz w:val="21"/>
        </w:rPr>
      </w:pPr>
      <w:r>
        <w:rPr>
          <w:rFonts w:hint="eastAsia"/>
          <w:b/>
          <w:bCs/>
          <w:sz w:val="21"/>
          <w:lang w:eastAsia="zh-CN"/>
        </w:rPr>
        <w:t>一、</w:t>
      </w:r>
      <w:r>
        <w:rPr>
          <w:rFonts w:hint="eastAsia"/>
          <w:b/>
          <w:bCs/>
          <w:sz w:val="21"/>
        </w:rPr>
        <w:t>招标流程</w:t>
      </w:r>
    </w:p>
    <w:p>
      <w:pPr>
        <w:spacing w:after="0"/>
        <w:rPr>
          <w:rFonts w:hint="eastAsia"/>
          <w:sz w:val="21"/>
          <w:lang w:val="en-US" w:eastAsia="zh-CN"/>
        </w:rPr>
      </w:pPr>
      <w:r>
        <w:rPr>
          <w:rFonts w:hint="eastAsia"/>
          <w:b/>
          <w:bCs/>
          <w:sz w:val="21"/>
          <w:lang w:val="en-US" w:eastAsia="zh-CN"/>
        </w:rPr>
        <w:t>发标：</w:t>
      </w:r>
      <w:r>
        <w:rPr>
          <w:rFonts w:hint="eastAsia"/>
          <w:sz w:val="21"/>
          <w:lang w:val="en-US" w:eastAsia="zh-CN"/>
        </w:rPr>
        <w:t>2022年10月31日于宣城城建集团官网发布招标公告；</w:t>
      </w:r>
    </w:p>
    <w:p>
      <w:pPr>
        <w:spacing w:after="0"/>
        <w:rPr>
          <w:rFonts w:hint="eastAsia"/>
          <w:sz w:val="21"/>
          <w:lang w:val="en-US" w:eastAsia="zh-CN"/>
        </w:rPr>
      </w:pPr>
      <w:r>
        <w:rPr>
          <w:rFonts w:hint="eastAsia"/>
          <w:b/>
          <w:bCs/>
          <w:sz w:val="21"/>
          <w:lang w:val="en-US" w:eastAsia="zh-CN"/>
        </w:rPr>
        <w:t>投标：</w:t>
      </w:r>
      <w:r>
        <w:rPr>
          <w:rFonts w:hint="eastAsia"/>
          <w:sz w:val="21"/>
          <w:lang w:val="en-US" w:eastAsia="zh-CN"/>
        </w:rPr>
        <w:t>本次招标采用线上开标的方式，2022年11月17日17：30前投标单位将密封投标文件邮寄至宣城市薰化路与柏枧山路交叉口城建·望湖城营销中心，收件人：姚伟、电话：15256335940；</w:t>
      </w:r>
    </w:p>
    <w:p>
      <w:pPr>
        <w:spacing w:after="0"/>
        <w:rPr>
          <w:rFonts w:hint="eastAsia"/>
          <w:sz w:val="21"/>
          <w:lang w:val="en-US" w:eastAsia="zh-CN"/>
        </w:rPr>
      </w:pPr>
      <w:r>
        <w:rPr>
          <w:rFonts w:hint="eastAsia"/>
          <w:b/>
          <w:bCs/>
          <w:sz w:val="21"/>
          <w:lang w:val="en-US" w:eastAsia="zh-CN"/>
        </w:rPr>
        <w:t>开标：</w:t>
      </w:r>
      <w:r>
        <w:rPr>
          <w:rFonts w:hint="eastAsia"/>
          <w:sz w:val="21"/>
          <w:lang w:val="en-US" w:eastAsia="zh-CN"/>
        </w:rPr>
        <w:t>2022年11月18日8：30；</w:t>
      </w:r>
    </w:p>
    <w:p>
      <w:pPr>
        <w:spacing w:after="0"/>
        <w:rPr>
          <w:rFonts w:hint="eastAsia"/>
          <w:sz w:val="21"/>
          <w:lang w:val="en-US" w:eastAsia="zh-CN"/>
        </w:rPr>
      </w:pPr>
      <w:r>
        <w:rPr>
          <w:rFonts w:hint="eastAsia"/>
          <w:b/>
          <w:bCs/>
          <w:sz w:val="21"/>
          <w:lang w:val="en-US" w:eastAsia="zh-CN"/>
        </w:rPr>
        <w:t>开标地点：</w:t>
      </w:r>
      <w:r>
        <w:rPr>
          <w:rFonts w:hint="eastAsia"/>
          <w:sz w:val="21"/>
          <w:lang w:val="en-US" w:eastAsia="zh-CN"/>
        </w:rPr>
        <w:t>本次招标采用线上开标的方式，投标截止时间后送达的投标文件，招标人拒绝接收投标文件。</w:t>
      </w:r>
    </w:p>
    <w:p>
      <w:pPr>
        <w:spacing w:after="100" w:afterAutospacing="1"/>
        <w:rPr>
          <w:rFonts w:hint="eastAsia"/>
          <w:b/>
          <w:bCs/>
          <w:sz w:val="21"/>
        </w:rPr>
      </w:pPr>
    </w:p>
    <w:p>
      <w:pPr>
        <w:numPr>
          <w:ilvl w:val="0"/>
          <w:numId w:val="1"/>
        </w:numPr>
        <w:spacing w:after="100" w:afterAutospacing="1"/>
        <w:rPr>
          <w:rFonts w:hint="eastAsia"/>
          <w:b/>
          <w:bCs/>
          <w:sz w:val="21"/>
        </w:rPr>
      </w:pPr>
      <w:r>
        <w:rPr>
          <w:rFonts w:hint="eastAsia"/>
          <w:b/>
          <w:bCs/>
          <w:sz w:val="21"/>
        </w:rPr>
        <w:t>投标文件组成：</w:t>
      </w:r>
    </w:p>
    <w:p>
      <w:pPr>
        <w:numPr>
          <w:ilvl w:val="0"/>
          <w:numId w:val="0"/>
        </w:numPr>
        <w:spacing w:after="100" w:afterAutospacing="1"/>
        <w:ind w:firstLine="420" w:firstLineChars="200"/>
        <w:rPr>
          <w:rFonts w:hint="eastAsia" w:eastAsia="微软雅黑"/>
          <w:sz w:val="21"/>
          <w:lang w:eastAsia="zh-CN"/>
        </w:rPr>
      </w:pPr>
      <w:r>
        <w:rPr>
          <w:rFonts w:hint="eastAsia"/>
          <w:sz w:val="21"/>
        </w:rPr>
        <w:t>投标文件由技术标和商务标组成。两部分分开装订，投标人按照招标文件提供的格式和顺序进行编制</w:t>
      </w:r>
      <w:r>
        <w:rPr>
          <w:rFonts w:hint="eastAsia"/>
          <w:sz w:val="21"/>
          <w:lang w:eastAsia="zh-CN"/>
        </w:rPr>
        <w:t>。</w:t>
      </w:r>
    </w:p>
    <w:p>
      <w:pPr>
        <w:spacing w:after="100" w:afterAutospacing="1"/>
        <w:rPr>
          <w:b/>
          <w:bCs/>
          <w:sz w:val="21"/>
        </w:rPr>
      </w:pPr>
      <w:r>
        <w:rPr>
          <w:rFonts w:hint="eastAsia"/>
          <w:b/>
          <w:bCs/>
          <w:sz w:val="21"/>
        </w:rPr>
        <w:t xml:space="preserve">1、技术标包括（但不限于）以下内容：  </w:t>
      </w:r>
    </w:p>
    <w:p>
      <w:pPr>
        <w:spacing w:after="100" w:afterAutospacing="1"/>
        <w:rPr>
          <w:b/>
          <w:bCs/>
          <w:sz w:val="21"/>
        </w:rPr>
      </w:pPr>
      <w:r>
        <w:rPr>
          <w:rFonts w:hint="eastAsia"/>
          <w:b/>
          <w:bCs/>
          <w:sz w:val="21"/>
        </w:rPr>
        <w:t>投标方资格文件：</w:t>
      </w:r>
    </w:p>
    <w:p>
      <w:pPr>
        <w:spacing w:after="100" w:afterAutospacing="1"/>
        <w:rPr>
          <w:rFonts w:hint="eastAsia" w:eastAsia="微软雅黑"/>
          <w:sz w:val="21"/>
          <w:lang w:eastAsia="zh-CN"/>
        </w:rPr>
      </w:pPr>
      <w:r>
        <w:rPr>
          <w:rFonts w:hint="eastAsia"/>
          <w:sz w:val="21"/>
        </w:rPr>
        <w:t>1)企业法人营业执照复印件加盖公章</w:t>
      </w:r>
      <w:r>
        <w:rPr>
          <w:rFonts w:hint="eastAsia"/>
          <w:sz w:val="21"/>
          <w:lang w:eastAsia="zh-CN"/>
        </w:rPr>
        <w:t>；</w:t>
      </w:r>
    </w:p>
    <w:p>
      <w:pPr>
        <w:spacing w:after="100" w:afterAutospacing="1"/>
        <w:rPr>
          <w:rFonts w:hint="eastAsia" w:eastAsia="微软雅黑"/>
          <w:sz w:val="21"/>
          <w:lang w:eastAsia="zh-CN"/>
        </w:rPr>
      </w:pPr>
      <w:r>
        <w:rPr>
          <w:rFonts w:hint="eastAsia"/>
          <w:sz w:val="21"/>
        </w:rPr>
        <w:t>2)投标单位的有效通讯地址、邮政编码、电子邮箱</w:t>
      </w:r>
      <w:r>
        <w:rPr>
          <w:rFonts w:hint="eastAsia"/>
          <w:sz w:val="21"/>
          <w:lang w:eastAsia="zh-CN"/>
        </w:rPr>
        <w:t>；</w:t>
      </w:r>
    </w:p>
    <w:p>
      <w:pPr>
        <w:spacing w:after="100" w:afterAutospacing="1"/>
        <w:rPr>
          <w:rFonts w:hint="eastAsia" w:eastAsia="微软雅黑"/>
          <w:sz w:val="21"/>
          <w:lang w:eastAsia="zh-CN"/>
        </w:rPr>
      </w:pPr>
      <w:r>
        <w:rPr>
          <w:rFonts w:hint="eastAsia"/>
          <w:sz w:val="21"/>
        </w:rPr>
        <w:t>3)企业法人证明书及身份证复印件</w:t>
      </w:r>
      <w:r>
        <w:rPr>
          <w:rFonts w:hint="eastAsia"/>
          <w:sz w:val="21"/>
          <w:lang w:eastAsia="zh-CN"/>
        </w:rPr>
        <w:t>；</w:t>
      </w:r>
    </w:p>
    <w:p>
      <w:pPr>
        <w:spacing w:after="100" w:afterAutospacing="1"/>
        <w:rPr>
          <w:rFonts w:hint="eastAsia"/>
          <w:color w:val="auto"/>
          <w:sz w:val="21"/>
          <w:lang w:eastAsia="zh-CN"/>
        </w:rPr>
      </w:pPr>
      <w:r>
        <w:rPr>
          <w:rFonts w:hint="eastAsia"/>
          <w:color w:val="auto"/>
          <w:sz w:val="21"/>
        </w:rPr>
        <w:t>4)法人代表盖章的对参加本项目投标的受委托人的有效授权委托书（须含受委托人的身份证复印件），详见附件</w:t>
      </w:r>
      <w:r>
        <w:rPr>
          <w:rFonts w:hint="eastAsia"/>
          <w:color w:val="auto"/>
          <w:sz w:val="21"/>
          <w:lang w:eastAsia="zh-CN"/>
        </w:rPr>
        <w:t>；</w:t>
      </w:r>
    </w:p>
    <w:p>
      <w:pPr>
        <w:spacing w:after="100" w:afterAutospacing="1"/>
        <w:rPr>
          <w:rFonts w:hint="eastAsia" w:ascii="Tahoma" w:hAnsi="Tahoma" w:eastAsia="微软雅黑" w:cstheme="minorBidi"/>
          <w:color w:val="auto"/>
          <w:kern w:val="0"/>
          <w:sz w:val="21"/>
          <w:szCs w:val="22"/>
          <w:lang w:val="en-US" w:eastAsia="zh-CN" w:bidi="ar-SA"/>
        </w:rPr>
      </w:pPr>
      <w:r>
        <w:rPr>
          <w:rFonts w:hint="eastAsia" w:ascii="Tahoma" w:hAnsi="Tahoma" w:eastAsia="微软雅黑" w:cstheme="minorBidi"/>
          <w:color w:val="auto"/>
          <w:kern w:val="0"/>
          <w:sz w:val="21"/>
          <w:szCs w:val="22"/>
          <w:lang w:val="en-US" w:eastAsia="zh-CN" w:bidi="ar-SA"/>
        </w:rPr>
        <w:t>5)提供与全国房产</w:t>
      </w:r>
      <w:r>
        <w:rPr>
          <w:rFonts w:hint="eastAsia" w:cstheme="minorBidi"/>
          <w:color w:val="auto"/>
          <w:kern w:val="0"/>
          <w:sz w:val="21"/>
          <w:szCs w:val="22"/>
          <w:lang w:val="en-US" w:eastAsia="zh-CN" w:bidi="ar-SA"/>
        </w:rPr>
        <w:t>前5</w:t>
      </w:r>
      <w:r>
        <w:rPr>
          <w:rFonts w:hint="eastAsia" w:ascii="Tahoma" w:hAnsi="Tahoma" w:eastAsia="微软雅黑" w:cstheme="minorBidi"/>
          <w:color w:val="auto"/>
          <w:kern w:val="0"/>
          <w:sz w:val="21"/>
          <w:szCs w:val="22"/>
          <w:lang w:val="en-US" w:eastAsia="zh-CN" w:bidi="ar-SA"/>
        </w:rPr>
        <w:t>0强合作证明；</w:t>
      </w:r>
    </w:p>
    <w:p>
      <w:pPr>
        <w:spacing w:after="100" w:afterAutospacing="1"/>
        <w:rPr>
          <w:rFonts w:hint="eastAsia" w:eastAsia="微软雅黑"/>
          <w:sz w:val="21"/>
          <w:lang w:eastAsia="zh-CN"/>
        </w:rPr>
      </w:pPr>
      <w:r>
        <w:rPr>
          <w:rFonts w:hint="eastAsia"/>
          <w:sz w:val="21"/>
          <w:lang w:val="en-US" w:eastAsia="zh-CN"/>
        </w:rPr>
        <w:t>6</w:t>
      </w:r>
      <w:r>
        <w:rPr>
          <w:rFonts w:hint="eastAsia"/>
          <w:sz w:val="21"/>
        </w:rPr>
        <w:t>)</w:t>
      </w:r>
      <w:r>
        <w:rPr>
          <w:rFonts w:hint="eastAsia"/>
          <w:b w:val="0"/>
          <w:bCs w:val="0"/>
          <w:sz w:val="21"/>
        </w:rPr>
        <w:t>公司</w:t>
      </w:r>
      <w:r>
        <w:rPr>
          <w:rFonts w:hint="eastAsia"/>
          <w:b w:val="0"/>
          <w:bCs w:val="0"/>
          <w:sz w:val="21"/>
          <w:lang w:val="en-US" w:eastAsia="zh-CN"/>
        </w:rPr>
        <w:t>近半年</w:t>
      </w:r>
      <w:r>
        <w:rPr>
          <w:rFonts w:hint="eastAsia"/>
          <w:b w:val="0"/>
          <w:bCs w:val="0"/>
          <w:sz w:val="21"/>
        </w:rPr>
        <w:t>主要业绩等</w:t>
      </w:r>
      <w:r>
        <w:rPr>
          <w:rFonts w:hint="eastAsia"/>
          <w:sz w:val="21"/>
        </w:rPr>
        <w:t>有关资料并加盖公章</w:t>
      </w:r>
      <w:r>
        <w:rPr>
          <w:rFonts w:hint="eastAsia"/>
          <w:sz w:val="21"/>
          <w:lang w:eastAsia="zh-CN"/>
        </w:rPr>
        <w:t>；</w:t>
      </w:r>
    </w:p>
    <w:p>
      <w:pPr>
        <w:spacing w:after="100" w:afterAutospacing="1"/>
        <w:rPr>
          <w:rFonts w:hint="eastAsia"/>
          <w:sz w:val="21"/>
          <w:lang w:val="en-US" w:eastAsia="zh-CN"/>
        </w:rPr>
      </w:pPr>
      <w:r>
        <w:rPr>
          <w:rFonts w:hint="eastAsia"/>
          <w:sz w:val="21"/>
          <w:lang w:val="en-US" w:eastAsia="zh-CN"/>
        </w:rPr>
        <w:t>7)城建·山水闲庭项目宣传片创意方案；</w:t>
      </w:r>
    </w:p>
    <w:p>
      <w:pPr>
        <w:spacing w:after="100" w:afterAutospacing="1"/>
        <w:rPr>
          <w:rFonts w:hint="default"/>
          <w:sz w:val="21"/>
          <w:lang w:val="en-US" w:eastAsia="zh-CN"/>
        </w:rPr>
      </w:pPr>
      <w:r>
        <w:rPr>
          <w:rFonts w:hint="eastAsia"/>
          <w:sz w:val="21"/>
          <w:lang w:val="en-US" w:eastAsia="zh-CN"/>
        </w:rPr>
        <w:t>8)户型VR及VR看房系统PC版优秀案例（电子版）。</w:t>
      </w:r>
    </w:p>
    <w:p>
      <w:pPr>
        <w:spacing w:after="100" w:afterAutospacing="1"/>
        <w:rPr>
          <w:b/>
          <w:bCs/>
          <w:sz w:val="21"/>
        </w:rPr>
      </w:pPr>
      <w:r>
        <w:rPr>
          <w:rFonts w:hint="eastAsia"/>
          <w:b/>
          <w:bCs/>
          <w:sz w:val="21"/>
        </w:rPr>
        <w:t>投标内容及技术介绍：</w:t>
      </w:r>
    </w:p>
    <w:p>
      <w:pPr>
        <w:spacing w:after="100" w:afterAutospacing="1"/>
        <w:rPr>
          <w:sz w:val="21"/>
        </w:rPr>
      </w:pPr>
      <w:r>
        <w:rPr>
          <w:rFonts w:hint="eastAsia"/>
          <w:sz w:val="21"/>
        </w:rPr>
        <w:t xml:space="preserve">1)创作能力：包括创作团队和优秀作品； </w:t>
      </w:r>
    </w:p>
    <w:p>
      <w:pPr>
        <w:spacing w:after="100" w:afterAutospacing="1"/>
        <w:rPr>
          <w:sz w:val="21"/>
        </w:rPr>
      </w:pPr>
      <w:r>
        <w:rPr>
          <w:rFonts w:hint="eastAsia"/>
          <w:sz w:val="21"/>
        </w:rPr>
        <w:t>2)公司实力及过往业绩：包括公司年营业额、合作单位及合作项目；</w:t>
      </w:r>
    </w:p>
    <w:p>
      <w:pPr>
        <w:spacing w:after="100" w:afterAutospacing="1"/>
        <w:rPr>
          <w:sz w:val="21"/>
        </w:rPr>
      </w:pPr>
      <w:r>
        <w:rPr>
          <w:rFonts w:hint="eastAsia"/>
          <w:sz w:val="21"/>
        </w:rPr>
        <w:t>3)机器设备：包括拍摄用和后期制作机器设备；</w:t>
      </w:r>
    </w:p>
    <w:p>
      <w:pPr>
        <w:spacing w:after="100" w:afterAutospacing="1"/>
        <w:rPr>
          <w:sz w:val="21"/>
        </w:rPr>
      </w:pPr>
      <w:r>
        <w:rPr>
          <w:rFonts w:hint="eastAsia"/>
          <w:sz w:val="21"/>
        </w:rPr>
        <w:t>4)服务能力：包括服务保障及响应能力。</w:t>
      </w:r>
    </w:p>
    <w:p>
      <w:pPr>
        <w:spacing w:after="100" w:afterAutospacing="1"/>
        <w:rPr>
          <w:b/>
          <w:bCs/>
          <w:sz w:val="21"/>
        </w:rPr>
      </w:pPr>
      <w:r>
        <w:rPr>
          <w:rFonts w:hint="eastAsia"/>
          <w:b/>
          <w:bCs/>
          <w:sz w:val="21"/>
        </w:rPr>
        <w:t xml:space="preserve">2、商务标包括以下内容： </w:t>
      </w:r>
    </w:p>
    <w:p>
      <w:pPr>
        <w:spacing w:after="100" w:afterAutospacing="1"/>
        <w:rPr>
          <w:rFonts w:hint="eastAsia" w:eastAsia="微软雅黑"/>
          <w:sz w:val="21"/>
          <w:lang w:eastAsia="zh-CN"/>
        </w:rPr>
      </w:pPr>
      <w:r>
        <w:rPr>
          <w:rFonts w:hint="eastAsia"/>
          <w:sz w:val="21"/>
        </w:rPr>
        <w:t>1</w:t>
      </w:r>
      <w:r>
        <w:rPr>
          <w:rFonts w:hint="eastAsia"/>
          <w:sz w:val="21"/>
          <w:lang w:val="en-US" w:eastAsia="zh-CN"/>
        </w:rPr>
        <w:t>)</w:t>
      </w:r>
      <w:r>
        <w:rPr>
          <w:rFonts w:hint="eastAsia"/>
          <w:sz w:val="21"/>
        </w:rPr>
        <w:t>投标函（见附件）</w:t>
      </w:r>
      <w:r>
        <w:rPr>
          <w:rFonts w:hint="eastAsia"/>
          <w:sz w:val="21"/>
          <w:lang w:eastAsia="zh-CN"/>
        </w:rPr>
        <w:t>；</w:t>
      </w:r>
    </w:p>
    <w:p>
      <w:pPr>
        <w:spacing w:after="100" w:afterAutospacing="1"/>
        <w:rPr>
          <w:rFonts w:hint="eastAsia"/>
          <w:sz w:val="21"/>
          <w:lang w:eastAsia="zh-CN"/>
        </w:rPr>
      </w:pPr>
      <w:r>
        <w:rPr>
          <w:rFonts w:hint="eastAsia"/>
          <w:sz w:val="21"/>
        </w:rPr>
        <w:t>2</w:t>
      </w:r>
      <w:r>
        <w:rPr>
          <w:rFonts w:hint="eastAsia"/>
          <w:sz w:val="21"/>
          <w:lang w:val="en-US" w:eastAsia="zh-CN"/>
        </w:rPr>
        <w:t>)</w:t>
      </w:r>
      <w:r>
        <w:rPr>
          <w:rFonts w:hint="eastAsia"/>
          <w:sz w:val="21"/>
        </w:rPr>
        <w:t>投标商务报价单(按附件三要求报价)</w:t>
      </w:r>
      <w:r>
        <w:rPr>
          <w:rFonts w:hint="eastAsia"/>
          <w:sz w:val="21"/>
          <w:lang w:eastAsia="zh-CN"/>
        </w:rPr>
        <w:t>；</w:t>
      </w:r>
    </w:p>
    <w:p>
      <w:pPr>
        <w:spacing w:after="100" w:afterAutospacing="1"/>
        <w:rPr>
          <w:rFonts w:hint="default" w:eastAsia="微软雅黑"/>
          <w:color w:val="auto"/>
          <w:sz w:val="21"/>
          <w:lang w:val="en-US" w:eastAsia="zh-CN"/>
        </w:rPr>
      </w:pPr>
      <w:r>
        <w:rPr>
          <w:rFonts w:hint="eastAsia"/>
          <w:color w:val="auto"/>
          <w:sz w:val="21"/>
        </w:rPr>
        <w:t>3</w:t>
      </w:r>
      <w:r>
        <w:rPr>
          <w:rFonts w:hint="eastAsia"/>
          <w:color w:val="auto"/>
          <w:sz w:val="21"/>
          <w:lang w:val="en-US" w:eastAsia="zh-CN"/>
        </w:rPr>
        <w:t>)付款方式为合同约定内容全部制作并经验收完成后3个月内支付全款；</w:t>
      </w:r>
    </w:p>
    <w:p>
      <w:pPr>
        <w:spacing w:after="100" w:afterAutospacing="1"/>
        <w:rPr>
          <w:b/>
          <w:bCs/>
          <w:sz w:val="21"/>
        </w:rPr>
      </w:pPr>
      <w:r>
        <w:rPr>
          <w:rFonts w:hint="eastAsia"/>
          <w:b/>
          <w:bCs/>
          <w:sz w:val="21"/>
        </w:rPr>
        <w:t>三、附件明细</w:t>
      </w:r>
    </w:p>
    <w:p>
      <w:pPr>
        <w:spacing w:after="100" w:afterAutospacing="1"/>
        <w:rPr>
          <w:sz w:val="21"/>
        </w:rPr>
      </w:pPr>
      <w:r>
        <w:rPr>
          <w:rFonts w:hint="eastAsia"/>
          <w:sz w:val="21"/>
        </w:rPr>
        <w:t>1.投标承诺函</w:t>
      </w:r>
    </w:p>
    <w:p>
      <w:pPr>
        <w:spacing w:after="100" w:afterAutospacing="1"/>
        <w:rPr>
          <w:sz w:val="21"/>
        </w:rPr>
      </w:pPr>
      <w:r>
        <w:rPr>
          <w:rFonts w:hint="eastAsia"/>
          <w:sz w:val="21"/>
        </w:rPr>
        <w:t>2.供方基本信息审查表</w:t>
      </w:r>
    </w:p>
    <w:p>
      <w:pPr>
        <w:spacing w:after="100" w:afterAutospacing="1"/>
        <w:rPr>
          <w:rFonts w:hint="eastAsia"/>
          <w:sz w:val="21"/>
        </w:rPr>
      </w:pPr>
      <w:r>
        <w:rPr>
          <w:rFonts w:hint="eastAsia"/>
          <w:sz w:val="21"/>
        </w:rPr>
        <w:t>3.商务报价单</w:t>
      </w:r>
    </w:p>
    <w:p>
      <w:pPr>
        <w:spacing w:after="100" w:afterAutospacing="1"/>
        <w:rPr>
          <w:rFonts w:hint="eastAsia"/>
          <w:b/>
          <w:bCs/>
          <w:sz w:val="21"/>
          <w:lang w:val="en-US" w:eastAsia="zh-CN"/>
        </w:rPr>
      </w:pPr>
      <w:r>
        <w:rPr>
          <w:rFonts w:hint="eastAsia"/>
          <w:b/>
          <w:bCs/>
          <w:sz w:val="21"/>
          <w:lang w:val="en-US" w:eastAsia="zh-CN"/>
        </w:rPr>
        <w:t>四、开标与评标</w:t>
      </w:r>
    </w:p>
    <w:p>
      <w:pPr>
        <w:spacing w:after="100" w:afterAutospacing="1"/>
        <w:rPr>
          <w:rFonts w:hint="eastAsia"/>
          <w:sz w:val="21"/>
          <w:lang w:val="en-US" w:eastAsia="zh-CN"/>
        </w:rPr>
      </w:pPr>
      <w:r>
        <w:rPr>
          <w:rFonts w:hint="eastAsia"/>
          <w:sz w:val="21"/>
          <w:lang w:val="en-US" w:eastAsia="zh-CN"/>
        </w:rPr>
        <w:t>1.本次招标将采取公开评标的方式进行评标，届时有评标小组对投标公司的标书进行评审；</w:t>
      </w:r>
    </w:p>
    <w:p>
      <w:pPr>
        <w:spacing w:after="100" w:afterAutospacing="1"/>
        <w:rPr>
          <w:rFonts w:hint="eastAsia"/>
          <w:sz w:val="21"/>
          <w:lang w:val="en-US" w:eastAsia="zh-CN"/>
        </w:rPr>
      </w:pPr>
      <w:r>
        <w:rPr>
          <w:rFonts w:hint="eastAsia"/>
          <w:sz w:val="21"/>
          <w:lang w:val="en-US" w:eastAsia="zh-CN"/>
        </w:rPr>
        <w:t>2.评标原则：</w:t>
      </w:r>
    </w:p>
    <w:p>
      <w:pPr>
        <w:spacing w:after="100" w:afterAutospacing="1"/>
        <w:rPr>
          <w:rFonts w:hint="eastAsia"/>
          <w:b/>
          <w:bCs/>
          <w:sz w:val="21"/>
          <w:lang w:val="en-US" w:eastAsia="zh-CN"/>
        </w:rPr>
      </w:pPr>
      <w:r>
        <w:rPr>
          <w:rFonts w:hint="eastAsia"/>
          <w:sz w:val="21"/>
          <w:lang w:val="en-US" w:eastAsia="zh-CN"/>
        </w:rPr>
        <w:t>1)宣传片制作评标采用</w:t>
      </w:r>
      <w:r>
        <w:rPr>
          <w:rFonts w:hint="eastAsia"/>
          <w:sz w:val="21"/>
          <w:u w:val="single"/>
          <w:lang w:val="en-US" w:eastAsia="zh-CN"/>
        </w:rPr>
        <w:t>综合评标法</w:t>
      </w:r>
      <w:r>
        <w:rPr>
          <w:rFonts w:hint="eastAsia"/>
          <w:sz w:val="21"/>
          <w:lang w:val="en-US" w:eastAsia="zh-CN"/>
        </w:rPr>
        <w:t>，评标规则为：技术部分</w:t>
      </w:r>
      <w:r>
        <w:rPr>
          <w:rFonts w:hint="eastAsia"/>
          <w:sz w:val="21"/>
          <w:u w:val="single"/>
          <w:lang w:val="en-US" w:eastAsia="zh-CN"/>
        </w:rPr>
        <w:t xml:space="preserve">   40%   </w:t>
      </w:r>
      <w:r>
        <w:rPr>
          <w:rFonts w:hint="eastAsia"/>
          <w:sz w:val="21"/>
          <w:lang w:val="en-US" w:eastAsia="zh-CN"/>
        </w:rPr>
        <w:t xml:space="preserve"> 商务部分 </w:t>
      </w:r>
      <w:r>
        <w:rPr>
          <w:rFonts w:hint="eastAsia"/>
          <w:sz w:val="21"/>
          <w:u w:val="single"/>
          <w:lang w:val="en-US" w:eastAsia="zh-CN"/>
        </w:rPr>
        <w:t xml:space="preserve">   60%  </w:t>
      </w:r>
      <w:r>
        <w:rPr>
          <w:rFonts w:hint="eastAsia"/>
          <w:sz w:val="21"/>
          <w:lang w:val="en-US" w:eastAsia="zh-CN"/>
        </w:rPr>
        <w:t xml:space="preserve"> ，</w:t>
      </w:r>
      <w:r>
        <w:rPr>
          <w:rFonts w:hint="eastAsia"/>
          <w:b w:val="0"/>
          <w:bCs w:val="0"/>
          <w:sz w:val="21"/>
          <w:lang w:val="en-US" w:eastAsia="zh-CN"/>
        </w:rPr>
        <w:t>户型VR可由宣传片制作的中标单位制作，但定价方式可转为议价形式。</w:t>
      </w:r>
    </w:p>
    <w:p>
      <w:pPr>
        <w:spacing w:after="100" w:afterAutospacing="1"/>
        <w:rPr>
          <w:rFonts w:hint="default"/>
          <w:sz w:val="21"/>
          <w:lang w:val="en-US" w:eastAsia="zh-CN"/>
        </w:rPr>
      </w:pPr>
      <w:r>
        <w:rPr>
          <w:rFonts w:hint="eastAsia"/>
          <w:sz w:val="21"/>
          <w:lang w:val="en-US" w:eastAsia="zh-CN"/>
        </w:rPr>
        <w:t>2)VR看房系统PC版，评标采用总价最低中标方式，VR看房系统PC版是否制作最终以招标方通知为准。</w:t>
      </w:r>
    </w:p>
    <w:p>
      <w:pPr>
        <w:pStyle w:val="8"/>
        <w:ind w:left="0" w:leftChars="0" w:firstLine="0" w:firstLineChars="0"/>
        <w:rPr>
          <w:rFonts w:hint="eastAsia" w:ascii="Tahoma" w:hAnsi="Tahoma" w:eastAsia="微软雅黑" w:cstheme="minorBidi"/>
          <w:sz w:val="21"/>
          <w:szCs w:val="22"/>
          <w:lang w:val="en-US" w:eastAsia="zh-CN" w:bidi="ar-SA"/>
        </w:rPr>
      </w:pPr>
      <w:r>
        <w:rPr>
          <w:rFonts w:hint="eastAsia" w:ascii="Tahoma" w:hAnsi="Tahoma" w:eastAsia="微软雅黑" w:cstheme="minorBidi"/>
          <w:sz w:val="21"/>
          <w:szCs w:val="22"/>
          <w:lang w:val="en-US" w:eastAsia="zh-CN" w:bidi="ar-SA"/>
        </w:rPr>
        <w:t>3)评标参考因素包含创意构思、卖点展示、制作周期、拍摄手法、增值服务等。</w:t>
      </w:r>
    </w:p>
    <w:p>
      <w:pPr>
        <w:pStyle w:val="8"/>
        <w:ind w:left="0" w:leftChars="0" w:firstLine="0" w:firstLineChars="0"/>
        <w:rPr>
          <w:rFonts w:hint="eastAsia" w:ascii="Tahoma" w:hAnsi="Tahoma" w:eastAsia="微软雅黑" w:cstheme="minorBidi"/>
          <w:sz w:val="21"/>
          <w:szCs w:val="22"/>
          <w:lang w:val="en-US" w:eastAsia="zh-CN" w:bidi="ar-SA"/>
        </w:rPr>
      </w:pPr>
      <w:r>
        <w:rPr>
          <w:rFonts w:hint="eastAsia" w:ascii="Tahoma" w:hAnsi="Tahoma" w:eastAsia="微软雅黑" w:cstheme="minorBidi"/>
          <w:sz w:val="21"/>
          <w:szCs w:val="22"/>
          <w:lang w:val="en-US" w:eastAsia="zh-CN" w:bidi="ar-SA"/>
        </w:rPr>
        <w:t>4)确定中标单位后，招标人向中标单位发出中标通知书，并同时将中标结果通知所有未中标单位，对未中标的投标人，招标人有权不作任何解释。</w:t>
      </w:r>
    </w:p>
    <w:p>
      <w:pPr>
        <w:spacing w:line="360" w:lineRule="auto"/>
        <w:outlineLvl w:val="1"/>
        <w:rPr>
          <w:rFonts w:hint="eastAsia"/>
          <w:b/>
          <w:bCs/>
          <w:szCs w:val="21"/>
          <w:lang w:val="en-US" w:eastAsia="zh-CN"/>
        </w:rPr>
      </w:pPr>
      <w:r>
        <w:rPr>
          <w:rFonts w:hint="eastAsia"/>
          <w:b/>
          <w:bCs/>
          <w:szCs w:val="21"/>
          <w:lang w:val="en-US" w:eastAsia="zh-CN"/>
        </w:rPr>
        <w:t>五、开标评标异常情况处理</w:t>
      </w:r>
    </w:p>
    <w:p>
      <w:pPr>
        <w:keepNext w:val="0"/>
        <w:keepLines w:val="0"/>
        <w:pageBreakBefore w:val="0"/>
        <w:widowControl/>
        <w:tabs>
          <w:tab w:val="left" w:pos="540"/>
          <w:tab w:val="left" w:pos="900"/>
          <w:tab w:val="left" w:pos="3420"/>
        </w:tabs>
        <w:kinsoku/>
        <w:wordWrap/>
        <w:overflowPunct/>
        <w:topLinePunct w:val="0"/>
        <w:autoSpaceDE/>
        <w:autoSpaceDN/>
        <w:bidi w:val="0"/>
        <w:adjustRightInd w:val="0"/>
        <w:snapToGrid w:val="0"/>
        <w:spacing w:line="240" w:lineRule="auto"/>
        <w:textAlignment w:val="auto"/>
        <w:rPr>
          <w:rFonts w:hint="eastAsia"/>
          <w:sz w:val="21"/>
          <w:lang w:val="en-US" w:eastAsia="zh-CN"/>
        </w:rPr>
      </w:pPr>
      <w:r>
        <w:rPr>
          <w:rFonts w:hint="eastAsia"/>
          <w:sz w:val="21"/>
          <w:lang w:val="en-US" w:eastAsia="zh-CN"/>
        </w:rPr>
        <w:t>投标文件递交截止时间后参加投标人不足三家的，按以下原则处理：</w:t>
      </w:r>
    </w:p>
    <w:p>
      <w:pPr>
        <w:keepNext w:val="0"/>
        <w:keepLines w:val="0"/>
        <w:pageBreakBefore w:val="0"/>
        <w:widowControl/>
        <w:tabs>
          <w:tab w:val="left" w:pos="540"/>
          <w:tab w:val="left" w:pos="900"/>
          <w:tab w:val="left" w:pos="3420"/>
        </w:tabs>
        <w:kinsoku/>
        <w:wordWrap/>
        <w:overflowPunct/>
        <w:topLinePunct w:val="0"/>
        <w:autoSpaceDE/>
        <w:autoSpaceDN/>
        <w:bidi w:val="0"/>
        <w:adjustRightInd w:val="0"/>
        <w:snapToGrid w:val="0"/>
        <w:spacing w:line="240" w:lineRule="auto"/>
        <w:textAlignment w:val="auto"/>
        <w:rPr>
          <w:rFonts w:hint="eastAsia"/>
          <w:sz w:val="21"/>
          <w:lang w:val="en-US" w:eastAsia="zh-CN"/>
        </w:rPr>
      </w:pPr>
      <w:r>
        <w:rPr>
          <w:rFonts w:hint="eastAsia"/>
          <w:sz w:val="21"/>
          <w:lang w:val="en-US" w:eastAsia="zh-CN"/>
        </w:rPr>
        <w:t>1、招标文件没有不合理条款，符合规定的，采取竞争性谈判、询价或者单一来源方式采购；</w:t>
      </w:r>
    </w:p>
    <w:p>
      <w:pPr>
        <w:keepNext w:val="0"/>
        <w:keepLines w:val="0"/>
        <w:pageBreakBefore w:val="0"/>
        <w:widowControl/>
        <w:tabs>
          <w:tab w:val="left" w:pos="540"/>
          <w:tab w:val="left" w:pos="900"/>
          <w:tab w:val="left" w:pos="3420"/>
        </w:tabs>
        <w:kinsoku/>
        <w:wordWrap/>
        <w:overflowPunct/>
        <w:topLinePunct w:val="0"/>
        <w:autoSpaceDE/>
        <w:autoSpaceDN/>
        <w:bidi w:val="0"/>
        <w:adjustRightInd w:val="0"/>
        <w:snapToGrid w:val="0"/>
        <w:spacing w:line="240" w:lineRule="auto"/>
        <w:textAlignment w:val="auto"/>
        <w:rPr>
          <w:rFonts w:hint="eastAsia"/>
          <w:sz w:val="21"/>
          <w:lang w:val="en-US" w:eastAsia="zh-CN"/>
        </w:rPr>
      </w:pPr>
      <w:r>
        <w:rPr>
          <w:rFonts w:hint="eastAsia"/>
          <w:sz w:val="21"/>
          <w:lang w:val="en-US" w:eastAsia="zh-CN"/>
        </w:rPr>
        <w:t>2、招标文件存在不合理条款的，招标公告时间及程序不符合规定的，将作废标处理并重新组织招标。</w:t>
      </w:r>
    </w:p>
    <w:p>
      <w:pPr>
        <w:keepNext w:val="0"/>
        <w:keepLines w:val="0"/>
        <w:pageBreakBefore w:val="0"/>
        <w:widowControl/>
        <w:tabs>
          <w:tab w:val="left" w:pos="540"/>
          <w:tab w:val="left" w:pos="900"/>
          <w:tab w:val="left" w:pos="3420"/>
        </w:tabs>
        <w:kinsoku/>
        <w:wordWrap/>
        <w:overflowPunct/>
        <w:topLinePunct w:val="0"/>
        <w:autoSpaceDE/>
        <w:autoSpaceDN/>
        <w:bidi w:val="0"/>
        <w:adjustRightInd w:val="0"/>
        <w:snapToGrid w:val="0"/>
        <w:spacing w:line="240" w:lineRule="auto"/>
        <w:textAlignment w:val="auto"/>
        <w:rPr>
          <w:rFonts w:hint="eastAsia"/>
          <w:sz w:val="21"/>
          <w:lang w:val="en-US" w:eastAsia="zh-CN"/>
        </w:rPr>
      </w:pPr>
      <w:r>
        <w:rPr>
          <w:rFonts w:hint="eastAsia"/>
          <w:sz w:val="21"/>
          <w:lang w:val="en-US" w:eastAsia="zh-CN"/>
        </w:rPr>
        <w:t>联系人：姚伟</w:t>
      </w:r>
    </w:p>
    <w:p>
      <w:pPr>
        <w:keepNext w:val="0"/>
        <w:keepLines w:val="0"/>
        <w:pageBreakBefore w:val="0"/>
        <w:widowControl/>
        <w:tabs>
          <w:tab w:val="left" w:pos="540"/>
          <w:tab w:val="left" w:pos="900"/>
          <w:tab w:val="left" w:pos="3420"/>
        </w:tabs>
        <w:kinsoku/>
        <w:wordWrap/>
        <w:overflowPunct/>
        <w:topLinePunct w:val="0"/>
        <w:autoSpaceDE/>
        <w:autoSpaceDN/>
        <w:bidi w:val="0"/>
        <w:adjustRightInd w:val="0"/>
        <w:snapToGrid w:val="0"/>
        <w:spacing w:line="240" w:lineRule="auto"/>
        <w:textAlignment w:val="auto"/>
        <w:rPr>
          <w:rFonts w:hint="eastAsia"/>
          <w:sz w:val="21"/>
          <w:lang w:val="en-US" w:eastAsia="zh-CN"/>
        </w:rPr>
      </w:pPr>
      <w:r>
        <w:rPr>
          <w:rFonts w:hint="eastAsia"/>
          <w:sz w:val="21"/>
          <w:lang w:val="en-US" w:eastAsia="zh-CN"/>
        </w:rPr>
        <w:t>电话：15256335940</w:t>
      </w:r>
    </w:p>
    <w:p>
      <w:pPr>
        <w:keepNext w:val="0"/>
        <w:keepLines w:val="0"/>
        <w:pageBreakBefore w:val="0"/>
        <w:widowControl/>
        <w:tabs>
          <w:tab w:val="left" w:pos="540"/>
          <w:tab w:val="left" w:pos="900"/>
          <w:tab w:val="left" w:pos="3420"/>
        </w:tabs>
        <w:kinsoku/>
        <w:wordWrap/>
        <w:overflowPunct/>
        <w:topLinePunct w:val="0"/>
        <w:autoSpaceDE/>
        <w:autoSpaceDN/>
        <w:bidi w:val="0"/>
        <w:adjustRightInd w:val="0"/>
        <w:snapToGrid w:val="0"/>
        <w:spacing w:line="240" w:lineRule="auto"/>
        <w:textAlignment w:val="auto"/>
        <w:rPr>
          <w:rFonts w:hint="eastAsia"/>
          <w:sz w:val="21"/>
          <w:lang w:val="en-US" w:eastAsia="zh-CN"/>
        </w:rPr>
      </w:pPr>
      <w:r>
        <w:rPr>
          <w:rFonts w:hint="eastAsia"/>
          <w:sz w:val="21"/>
          <w:lang w:val="en-US" w:eastAsia="zh-CN"/>
        </w:rPr>
        <w:t>邮箱：984952151@qq.com</w:t>
      </w:r>
    </w:p>
    <w:p>
      <w:pPr>
        <w:pStyle w:val="2"/>
        <w:rPr>
          <w:rFonts w:hint="eastAsia"/>
          <w:color w:val="0000FF"/>
          <w:sz w:val="21"/>
        </w:rPr>
      </w:pPr>
    </w:p>
    <w:p>
      <w:pPr>
        <w:spacing w:after="0"/>
        <w:rPr>
          <w:sz w:val="21"/>
        </w:rPr>
      </w:pPr>
      <w:r>
        <w:rPr>
          <w:rFonts w:hint="eastAsia"/>
          <w:sz w:val="21"/>
        </w:rPr>
        <w:t>附件一：</w:t>
      </w:r>
    </w:p>
    <w:p>
      <w:pPr>
        <w:spacing w:after="0"/>
        <w:rPr>
          <w:sz w:val="21"/>
        </w:rPr>
      </w:pPr>
    </w:p>
    <w:p>
      <w:pPr>
        <w:autoSpaceDE w:val="0"/>
        <w:autoSpaceDN w:val="0"/>
        <w:spacing w:line="360" w:lineRule="auto"/>
        <w:ind w:right="34"/>
        <w:jc w:val="center"/>
        <w:rPr>
          <w:rFonts w:ascii="黑体" w:eastAsia="黑体" w:cs="黑体"/>
          <w:b/>
          <w:bCs/>
          <w:color w:val="000000"/>
          <w:sz w:val="28"/>
          <w:szCs w:val="28"/>
        </w:rPr>
      </w:pPr>
      <w:r>
        <w:rPr>
          <w:rFonts w:hint="eastAsia" w:ascii="黑体" w:eastAsia="黑体" w:cs="黑体"/>
          <w:b/>
          <w:bCs/>
          <w:color w:val="000000"/>
          <w:sz w:val="28"/>
          <w:szCs w:val="28"/>
        </w:rPr>
        <w:t>投标承诺函</w:t>
      </w:r>
    </w:p>
    <w:p>
      <w:pPr>
        <w:autoSpaceDE w:val="0"/>
        <w:autoSpaceDN w:val="0"/>
        <w:spacing w:line="480" w:lineRule="exact"/>
        <w:ind w:right="-100"/>
        <w:rPr>
          <w:rFonts w:ascii="宋体" w:hAnsi="宋体" w:cs="黑体"/>
          <w:color w:val="000000"/>
          <w:sz w:val="24"/>
        </w:rPr>
      </w:pPr>
    </w:p>
    <w:p>
      <w:pPr>
        <w:autoSpaceDE w:val="0"/>
        <w:autoSpaceDN w:val="0"/>
        <w:spacing w:line="480" w:lineRule="exact"/>
        <w:ind w:right="-100"/>
        <w:rPr>
          <w:rFonts w:ascii="宋体" w:hAnsi="宋体" w:cs="黑体"/>
          <w:color w:val="000000"/>
          <w:sz w:val="24"/>
        </w:rPr>
      </w:pPr>
      <w:r>
        <w:rPr>
          <w:rFonts w:hint="eastAsia" w:ascii="宋体" w:hAnsi="宋体" w:cs="黑体"/>
          <w:color w:val="000000"/>
          <w:sz w:val="24"/>
        </w:rPr>
        <w:t>致：</w:t>
      </w:r>
      <w:r>
        <w:rPr>
          <w:rFonts w:hint="eastAsia" w:ascii="宋体" w:hAnsi="宋体" w:cs="黑体"/>
          <w:color w:val="000000"/>
          <w:sz w:val="24"/>
          <w:u w:val="single"/>
        </w:rPr>
        <w:t xml:space="preserve">            </w:t>
      </w:r>
    </w:p>
    <w:p>
      <w:pPr>
        <w:autoSpaceDE w:val="0"/>
        <w:autoSpaceDN w:val="0"/>
        <w:spacing w:line="480" w:lineRule="exact"/>
        <w:ind w:left="251" w:leftChars="114" w:right="-100" w:firstLine="480" w:firstLineChars="200"/>
        <w:rPr>
          <w:rFonts w:ascii="宋体" w:hAnsi="宋体" w:cs="黑体"/>
          <w:color w:val="000000"/>
          <w:sz w:val="24"/>
        </w:rPr>
      </w:pPr>
      <w:r>
        <w:rPr>
          <w:rFonts w:hint="eastAsia" w:ascii="宋体" w:hAnsi="宋体" w:cs="黑体"/>
          <w:color w:val="000000"/>
          <w:sz w:val="24"/>
        </w:rPr>
        <w:t>经与贵公司接洽，在充分了解并研究</w:t>
      </w:r>
      <w:r>
        <w:rPr>
          <w:rFonts w:hint="eastAsia" w:ascii="宋体" w:hAnsi="宋体" w:cs="黑体"/>
          <w:color w:val="000000"/>
          <w:sz w:val="24"/>
          <w:u w:val="single"/>
        </w:rPr>
        <w:t xml:space="preserve">             </w:t>
      </w:r>
      <w:r>
        <w:rPr>
          <w:rFonts w:hint="eastAsia" w:ascii="宋体" w:hAnsi="宋体"/>
          <w:sz w:val="24"/>
        </w:rPr>
        <w:t>招标</w:t>
      </w:r>
      <w:r>
        <w:rPr>
          <w:rFonts w:hint="eastAsia" w:ascii="宋体" w:hAnsi="宋体" w:cs="黑体"/>
          <w:color w:val="000000"/>
          <w:sz w:val="24"/>
        </w:rPr>
        <w:t>的工期（供货期/服务期）、工艺、质量、创意、设计、付款条件、技术标准等基本要求后，我公司自愿参加本次招标（采购）。</w:t>
      </w:r>
    </w:p>
    <w:p>
      <w:pPr>
        <w:autoSpaceDE w:val="0"/>
        <w:autoSpaceDN w:val="0"/>
        <w:spacing w:line="480" w:lineRule="exact"/>
        <w:ind w:right="-100" w:firstLine="480" w:firstLineChars="200"/>
        <w:rPr>
          <w:rFonts w:ascii="宋体" w:hAnsi="宋体" w:cs="黑体"/>
          <w:color w:val="000000"/>
          <w:sz w:val="24"/>
        </w:rPr>
      </w:pPr>
      <w:r>
        <w:rPr>
          <w:rFonts w:hint="eastAsia" w:ascii="宋体" w:hAnsi="宋体" w:cs="黑体"/>
          <w:color w:val="000000"/>
          <w:sz w:val="24"/>
        </w:rPr>
        <w:t>本次招标（采购）过程中，我公司授权的联系人</w:t>
      </w:r>
      <w:r>
        <w:rPr>
          <w:rFonts w:hint="eastAsia" w:ascii="宋体" w:hAnsi="宋体" w:cs="黑体"/>
          <w:color w:val="000000"/>
          <w:sz w:val="24"/>
          <w:u w:val="single"/>
        </w:rPr>
        <w:t xml:space="preserve">                 </w:t>
      </w:r>
      <w:r>
        <w:rPr>
          <w:rFonts w:hint="eastAsia" w:ascii="宋体" w:hAnsi="宋体" w:cs="黑体"/>
          <w:color w:val="000000"/>
          <w:sz w:val="24"/>
        </w:rPr>
        <w:t>，联系电话</w:t>
      </w:r>
      <w:r>
        <w:rPr>
          <w:rFonts w:hint="eastAsia" w:ascii="宋体" w:hAnsi="宋体" w:cs="黑体"/>
          <w:color w:val="000000"/>
          <w:sz w:val="24"/>
          <w:u w:val="single"/>
        </w:rPr>
        <w:t xml:space="preserve">                      </w:t>
      </w:r>
      <w:r>
        <w:rPr>
          <w:rFonts w:hint="eastAsia" w:ascii="宋体" w:hAnsi="宋体" w:cs="黑体"/>
          <w:color w:val="000000"/>
          <w:sz w:val="24"/>
        </w:rPr>
        <w:t>（手机）</w:t>
      </w:r>
      <w:r>
        <w:rPr>
          <w:rFonts w:hint="eastAsia" w:ascii="宋体" w:hAnsi="宋体" w:cs="黑体"/>
          <w:color w:val="000000"/>
          <w:sz w:val="24"/>
          <w:u w:val="single"/>
        </w:rPr>
        <w:t xml:space="preserve">                    </w:t>
      </w:r>
      <w:r>
        <w:rPr>
          <w:rFonts w:hint="eastAsia" w:ascii="宋体" w:hAnsi="宋体" w:cs="黑体"/>
          <w:color w:val="000000"/>
          <w:sz w:val="24"/>
        </w:rPr>
        <w:t>（办公电话），联系</w:t>
      </w:r>
      <w:r>
        <w:rPr>
          <w:rFonts w:hint="eastAsia" w:ascii="宋体" w:hAnsi="宋体" w:cs="黑体"/>
          <w:color w:val="000000"/>
          <w:sz w:val="24"/>
          <w:u w:val="none"/>
          <w:lang w:val="en-US" w:eastAsia="zh-CN"/>
        </w:rPr>
        <w:t>地址</w:t>
      </w:r>
      <w:r>
        <w:rPr>
          <w:rFonts w:hint="eastAsia" w:ascii="宋体" w:hAnsi="宋体" w:cs="黑体"/>
          <w:color w:val="000000"/>
          <w:sz w:val="24"/>
          <w:u w:val="single"/>
        </w:rPr>
        <w:t xml:space="preserve">                                    </w:t>
      </w:r>
      <w:r>
        <w:rPr>
          <w:rFonts w:hint="eastAsia" w:ascii="宋体" w:hAnsi="宋体" w:cs="黑体"/>
          <w:color w:val="000000"/>
          <w:sz w:val="24"/>
        </w:rPr>
        <w:t>。</w:t>
      </w:r>
    </w:p>
    <w:p>
      <w:pPr>
        <w:autoSpaceDE w:val="0"/>
        <w:autoSpaceDN w:val="0"/>
        <w:spacing w:line="480" w:lineRule="exact"/>
        <w:ind w:right="-100" w:firstLine="480"/>
        <w:rPr>
          <w:rFonts w:ascii="宋体" w:hAnsi="宋体" w:cs="黑体"/>
          <w:color w:val="000000"/>
          <w:sz w:val="24"/>
        </w:rPr>
      </w:pPr>
      <w:r>
        <w:rPr>
          <w:rFonts w:hint="eastAsia" w:ascii="宋体" w:hAnsi="宋体" w:cs="黑体"/>
          <w:color w:val="000000"/>
          <w:sz w:val="24"/>
        </w:rPr>
        <w:t>我公司承诺本次招标（采购）过程中，如有围标、串标、陪标、行贿等行为发生，则我公司自即日起自动不再参加</w:t>
      </w:r>
      <w:r>
        <w:rPr>
          <w:rFonts w:hint="eastAsia" w:ascii="宋体" w:hAnsi="宋体" w:cs="黑体"/>
          <w:color w:val="000000"/>
          <w:sz w:val="24"/>
          <w:lang w:val="en-US" w:eastAsia="zh-CN"/>
        </w:rPr>
        <w:t>由宣城城城建房地产营销策划有限公司所代理的项目的</w:t>
      </w:r>
      <w:r>
        <w:rPr>
          <w:rFonts w:hint="eastAsia" w:ascii="宋体" w:hAnsi="宋体" w:cs="黑体"/>
          <w:color w:val="000000"/>
          <w:sz w:val="24"/>
        </w:rPr>
        <w:t>招标活动。</w:t>
      </w:r>
    </w:p>
    <w:p>
      <w:pPr>
        <w:autoSpaceDE w:val="0"/>
        <w:autoSpaceDN w:val="0"/>
        <w:spacing w:line="480" w:lineRule="exact"/>
        <w:ind w:right="-100"/>
        <w:rPr>
          <w:rFonts w:ascii="宋体" w:hAnsi="宋体" w:cs="黑体"/>
          <w:color w:val="000000"/>
          <w:sz w:val="24"/>
        </w:rPr>
      </w:pPr>
      <w:r>
        <w:rPr>
          <w:rFonts w:hint="eastAsia" w:ascii="宋体" w:hAnsi="宋体" w:cs="黑体"/>
          <w:color w:val="000000"/>
          <w:sz w:val="24"/>
        </w:rPr>
        <w:t xml:space="preserve">                                      企业法人代表（签字盖章）</w:t>
      </w:r>
    </w:p>
    <w:p>
      <w:pPr>
        <w:autoSpaceDE w:val="0"/>
        <w:autoSpaceDN w:val="0"/>
        <w:spacing w:line="480" w:lineRule="exact"/>
        <w:ind w:right="-100" w:firstLine="4560" w:firstLineChars="1900"/>
        <w:rPr>
          <w:rFonts w:ascii="宋体" w:hAnsi="宋体" w:cs="黑体"/>
          <w:color w:val="000000"/>
          <w:sz w:val="24"/>
        </w:rPr>
      </w:pPr>
      <w:r>
        <w:rPr>
          <w:rFonts w:hint="eastAsia" w:ascii="宋体" w:hAnsi="宋体" w:cs="黑体"/>
          <w:color w:val="000000"/>
          <w:sz w:val="24"/>
        </w:rPr>
        <w:t xml:space="preserve">公司名称：         </w:t>
      </w:r>
    </w:p>
    <w:p>
      <w:pPr>
        <w:autoSpaceDE w:val="0"/>
        <w:autoSpaceDN w:val="0"/>
        <w:spacing w:line="480" w:lineRule="exact"/>
        <w:ind w:right="-100"/>
        <w:rPr>
          <w:rFonts w:hint="eastAsia" w:ascii="宋体" w:hAnsi="宋体" w:cs="黑体"/>
          <w:color w:val="000000"/>
          <w:sz w:val="24"/>
        </w:rPr>
      </w:pPr>
      <w:r>
        <w:rPr>
          <w:rFonts w:hint="eastAsia" w:ascii="宋体" w:hAnsi="宋体" w:cs="黑体"/>
          <w:color w:val="000000"/>
          <w:sz w:val="24"/>
        </w:rPr>
        <w:t xml:space="preserve">                                      年   月   日 </w:t>
      </w:r>
    </w:p>
    <w:p>
      <w:pPr>
        <w:pStyle w:val="8"/>
        <w:rPr>
          <w:rFonts w:hint="eastAsia" w:ascii="宋体" w:hAnsi="宋体" w:cs="黑体"/>
          <w:color w:val="000000"/>
          <w:sz w:val="24"/>
        </w:rPr>
      </w:pPr>
    </w:p>
    <w:p>
      <w:pPr>
        <w:pStyle w:val="8"/>
        <w:rPr>
          <w:rFonts w:hint="eastAsia" w:ascii="宋体" w:hAnsi="宋体" w:cs="黑体"/>
          <w:color w:val="000000"/>
          <w:sz w:val="24"/>
        </w:rPr>
      </w:pPr>
    </w:p>
    <w:p>
      <w:pPr>
        <w:pStyle w:val="8"/>
        <w:rPr>
          <w:rFonts w:hint="eastAsia" w:ascii="宋体" w:hAnsi="宋体" w:cs="黑体"/>
          <w:color w:val="000000"/>
          <w:sz w:val="24"/>
        </w:rPr>
      </w:pPr>
    </w:p>
    <w:p>
      <w:pPr>
        <w:pStyle w:val="8"/>
        <w:rPr>
          <w:rFonts w:hint="eastAsia" w:ascii="宋体" w:hAnsi="宋体" w:cs="黑体"/>
          <w:color w:val="000000"/>
          <w:sz w:val="24"/>
        </w:rPr>
      </w:pPr>
    </w:p>
    <w:p>
      <w:pPr>
        <w:autoSpaceDE w:val="0"/>
        <w:autoSpaceDN w:val="0"/>
        <w:spacing w:line="480" w:lineRule="exact"/>
        <w:ind w:right="-100"/>
        <w:rPr>
          <w:rFonts w:ascii="微软雅黑" w:hAnsi="微软雅黑"/>
          <w:b/>
          <w:sz w:val="21"/>
          <w:szCs w:val="21"/>
        </w:rPr>
      </w:pPr>
      <w:r>
        <w:rPr>
          <w:rFonts w:hint="eastAsia" w:ascii="宋体" w:hAnsi="宋体" w:cs="黑体"/>
          <w:color w:val="000000"/>
          <w:sz w:val="21"/>
          <w:szCs w:val="21"/>
        </w:rPr>
        <w:t>附件二：</w:t>
      </w:r>
    </w:p>
    <w:p>
      <w:pPr>
        <w:jc w:val="center"/>
        <w:rPr>
          <w:b/>
          <w:bCs/>
          <w:sz w:val="28"/>
          <w:szCs w:val="32"/>
        </w:rPr>
      </w:pPr>
      <w:r>
        <w:rPr>
          <w:rFonts w:hint="eastAsia"/>
          <w:b/>
          <w:bCs/>
          <w:sz w:val="28"/>
          <w:szCs w:val="32"/>
        </w:rPr>
        <w:t>供方基本信息审查表</w:t>
      </w:r>
    </w:p>
    <w:p>
      <w:pPr>
        <w:rPr>
          <w:rFonts w:ascii="微软雅黑" w:hAnsi="微软雅黑"/>
          <w:b/>
          <w:sz w:val="21"/>
          <w:szCs w:val="21"/>
        </w:rPr>
      </w:pPr>
      <w:r>
        <w:rPr>
          <w:rFonts w:hint="eastAsia" w:ascii="微软雅黑" w:hAnsi="微软雅黑"/>
          <w:b/>
          <w:sz w:val="21"/>
          <w:szCs w:val="21"/>
        </w:rPr>
        <w:t>1、供应商基本信息表</w:t>
      </w:r>
    </w:p>
    <w:tbl>
      <w:tblPr>
        <w:tblStyle w:val="9"/>
        <w:tblW w:w="9180" w:type="dxa"/>
        <w:jc w:val="center"/>
        <w:tblLayout w:type="fixed"/>
        <w:tblCellMar>
          <w:top w:w="0" w:type="dxa"/>
          <w:left w:w="30" w:type="dxa"/>
          <w:bottom w:w="0" w:type="dxa"/>
          <w:right w:w="30" w:type="dxa"/>
        </w:tblCellMar>
      </w:tblPr>
      <w:tblGrid>
        <w:gridCol w:w="1871"/>
        <w:gridCol w:w="3236"/>
        <w:gridCol w:w="1567"/>
        <w:gridCol w:w="2506"/>
      </w:tblGrid>
      <w:tr>
        <w:tblPrEx>
          <w:tblCellMar>
            <w:top w:w="0" w:type="dxa"/>
            <w:left w:w="30" w:type="dxa"/>
            <w:bottom w:w="0" w:type="dxa"/>
            <w:right w:w="30" w:type="dxa"/>
          </w:tblCellMar>
        </w:tblPrEx>
        <w:trPr>
          <w:cantSplit/>
          <w:trHeight w:val="284" w:hRule="atLeast"/>
          <w:jc w:val="center"/>
        </w:trPr>
        <w:tc>
          <w:tcPr>
            <w:tcW w:w="187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企业名称</w:t>
            </w:r>
          </w:p>
        </w:tc>
        <w:tc>
          <w:tcPr>
            <w:tcW w:w="323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p>
        </w:tc>
        <w:tc>
          <w:tcPr>
            <w:tcW w:w="156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联系人</w:t>
            </w:r>
          </w:p>
        </w:tc>
        <w:tc>
          <w:tcPr>
            <w:tcW w:w="250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p>
        </w:tc>
      </w:tr>
      <w:tr>
        <w:tblPrEx>
          <w:tblCellMar>
            <w:top w:w="0" w:type="dxa"/>
            <w:left w:w="30" w:type="dxa"/>
            <w:bottom w:w="0" w:type="dxa"/>
            <w:right w:w="30" w:type="dxa"/>
          </w:tblCellMar>
        </w:tblPrEx>
        <w:trPr>
          <w:cantSplit/>
          <w:trHeight w:val="222" w:hRule="atLeast"/>
          <w:jc w:val="center"/>
        </w:trPr>
        <w:tc>
          <w:tcPr>
            <w:tcW w:w="1871"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企业地址</w:t>
            </w:r>
          </w:p>
        </w:tc>
        <w:tc>
          <w:tcPr>
            <w:tcW w:w="323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p>
        </w:tc>
        <w:tc>
          <w:tcPr>
            <w:tcW w:w="156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电话、传真</w:t>
            </w:r>
          </w:p>
        </w:tc>
        <w:tc>
          <w:tcPr>
            <w:tcW w:w="250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p>
        </w:tc>
      </w:tr>
      <w:tr>
        <w:tblPrEx>
          <w:tblCellMar>
            <w:top w:w="0" w:type="dxa"/>
            <w:left w:w="30" w:type="dxa"/>
            <w:bottom w:w="0" w:type="dxa"/>
            <w:right w:w="30" w:type="dxa"/>
          </w:tblCellMar>
        </w:tblPrEx>
        <w:trPr>
          <w:cantSplit/>
          <w:trHeight w:val="172" w:hRule="atLeast"/>
          <w:jc w:val="center"/>
        </w:trPr>
        <w:tc>
          <w:tcPr>
            <w:tcW w:w="1871" w:type="dxa"/>
            <w:vMerge w:val="continue"/>
            <w:tcBorders>
              <w:top w:val="single" w:color="auto" w:sz="6" w:space="0"/>
              <w:left w:val="single" w:color="auto" w:sz="6" w:space="0"/>
              <w:bottom w:val="single" w:color="auto" w:sz="6" w:space="0"/>
              <w:right w:val="single" w:color="auto" w:sz="6" w:space="0"/>
            </w:tcBorders>
            <w:vAlign w:val="center"/>
          </w:tcPr>
          <w:p>
            <w:pPr>
              <w:spacing w:after="0"/>
              <w:jc w:val="center"/>
              <w:rPr>
                <w:rFonts w:ascii="微软雅黑" w:hAnsi="微软雅黑"/>
                <w:b/>
                <w:color w:val="000000"/>
                <w:sz w:val="18"/>
                <w:szCs w:val="18"/>
              </w:rPr>
            </w:pPr>
          </w:p>
        </w:tc>
        <w:tc>
          <w:tcPr>
            <w:tcW w:w="3236" w:type="dxa"/>
            <w:vMerge w:val="continue"/>
            <w:tcBorders>
              <w:top w:val="single" w:color="auto" w:sz="6" w:space="0"/>
              <w:left w:val="single" w:color="auto" w:sz="6" w:space="0"/>
              <w:bottom w:val="single" w:color="auto" w:sz="6" w:space="0"/>
              <w:right w:val="single" w:color="auto" w:sz="6" w:space="0"/>
            </w:tcBorders>
            <w:vAlign w:val="center"/>
          </w:tcPr>
          <w:p>
            <w:pPr>
              <w:spacing w:after="0"/>
              <w:jc w:val="center"/>
              <w:rPr>
                <w:rFonts w:ascii="微软雅黑" w:hAnsi="微软雅黑"/>
                <w:b/>
                <w:color w:val="000000"/>
                <w:sz w:val="18"/>
                <w:szCs w:val="18"/>
              </w:rPr>
            </w:pPr>
          </w:p>
        </w:tc>
        <w:tc>
          <w:tcPr>
            <w:tcW w:w="156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电子邮箱</w:t>
            </w:r>
          </w:p>
        </w:tc>
        <w:tc>
          <w:tcPr>
            <w:tcW w:w="250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p>
        </w:tc>
      </w:tr>
      <w:tr>
        <w:tblPrEx>
          <w:tblCellMar>
            <w:top w:w="0" w:type="dxa"/>
            <w:left w:w="30" w:type="dxa"/>
            <w:bottom w:w="0" w:type="dxa"/>
            <w:right w:w="30" w:type="dxa"/>
          </w:tblCellMar>
        </w:tblPrEx>
        <w:trPr>
          <w:cantSplit/>
          <w:trHeight w:val="112" w:hRule="atLeast"/>
          <w:jc w:val="center"/>
        </w:trPr>
        <w:tc>
          <w:tcPr>
            <w:tcW w:w="1871" w:type="dxa"/>
            <w:tcBorders>
              <w:top w:val="single" w:color="auto" w:sz="6" w:space="0"/>
              <w:left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公司规模</w:t>
            </w:r>
          </w:p>
        </w:tc>
        <w:tc>
          <w:tcPr>
            <w:tcW w:w="7309" w:type="dxa"/>
            <w:gridSpan w:val="3"/>
            <w:tcBorders>
              <w:top w:val="single" w:color="auto" w:sz="6" w:space="0"/>
              <w:left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p>
        </w:tc>
      </w:tr>
      <w:tr>
        <w:tblPrEx>
          <w:tblCellMar>
            <w:top w:w="0" w:type="dxa"/>
            <w:left w:w="30" w:type="dxa"/>
            <w:bottom w:w="0" w:type="dxa"/>
            <w:right w:w="30" w:type="dxa"/>
          </w:tblCellMar>
        </w:tblPrEx>
        <w:trPr>
          <w:cantSplit/>
          <w:trHeight w:val="639" w:hRule="atLeast"/>
          <w:jc w:val="center"/>
        </w:trPr>
        <w:tc>
          <w:tcPr>
            <w:tcW w:w="187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公司资产</w:t>
            </w:r>
          </w:p>
        </w:tc>
        <w:tc>
          <w:tcPr>
            <w:tcW w:w="323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固定资产：</w:t>
            </w:r>
            <w:r>
              <w:rPr>
                <w:rFonts w:ascii="微软雅黑" w:hAnsi="微软雅黑"/>
                <w:b/>
                <w:color w:val="000000"/>
                <w:sz w:val="18"/>
                <w:szCs w:val="18"/>
              </w:rPr>
              <w:t xml:space="preserve">  </w:t>
            </w:r>
            <w:r>
              <w:rPr>
                <w:rFonts w:hint="eastAsia" w:ascii="微软雅黑" w:hAnsi="微软雅黑"/>
                <w:b/>
                <w:color w:val="000000"/>
                <w:sz w:val="18"/>
                <w:szCs w:val="18"/>
              </w:rPr>
              <w:t xml:space="preserve">     万</w:t>
            </w:r>
          </w:p>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 xml:space="preserve">流动资产： </w:t>
            </w:r>
            <w:r>
              <w:rPr>
                <w:rFonts w:ascii="微软雅黑" w:hAnsi="微软雅黑"/>
                <w:b/>
                <w:color w:val="000000"/>
                <w:sz w:val="18"/>
                <w:szCs w:val="18"/>
              </w:rPr>
              <w:t xml:space="preserve"> </w:t>
            </w:r>
            <w:r>
              <w:rPr>
                <w:rFonts w:hint="eastAsia" w:ascii="微软雅黑" w:hAnsi="微软雅黑"/>
                <w:b/>
                <w:color w:val="000000"/>
                <w:sz w:val="18"/>
                <w:szCs w:val="18"/>
              </w:rPr>
              <w:t xml:space="preserve">     万</w:t>
            </w:r>
          </w:p>
        </w:tc>
        <w:tc>
          <w:tcPr>
            <w:tcW w:w="156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年营业额</w:t>
            </w:r>
          </w:p>
        </w:tc>
        <w:tc>
          <w:tcPr>
            <w:tcW w:w="250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万</w:t>
            </w:r>
          </w:p>
        </w:tc>
      </w:tr>
      <w:tr>
        <w:tblPrEx>
          <w:tblCellMar>
            <w:top w:w="0" w:type="dxa"/>
            <w:left w:w="30" w:type="dxa"/>
            <w:bottom w:w="0" w:type="dxa"/>
            <w:right w:w="30" w:type="dxa"/>
          </w:tblCellMar>
        </w:tblPrEx>
        <w:trPr>
          <w:cantSplit/>
          <w:trHeight w:val="172" w:hRule="atLeast"/>
          <w:jc w:val="center"/>
        </w:trPr>
        <w:tc>
          <w:tcPr>
            <w:tcW w:w="187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主营范围</w:t>
            </w:r>
          </w:p>
        </w:tc>
        <w:tc>
          <w:tcPr>
            <w:tcW w:w="7309" w:type="dxa"/>
            <w:gridSpan w:val="3"/>
            <w:tcBorders>
              <w:top w:val="single" w:color="auto" w:sz="6" w:space="0"/>
              <w:left w:val="single" w:color="auto" w:sz="6" w:space="0"/>
              <w:bottom w:val="single" w:color="auto" w:sz="6" w:space="0"/>
              <w:right w:val="single" w:color="auto" w:sz="6" w:space="0"/>
            </w:tcBorders>
            <w:vAlign w:val="center"/>
          </w:tcPr>
          <w:p>
            <w:pPr>
              <w:spacing w:after="0"/>
              <w:jc w:val="center"/>
              <w:rPr>
                <w:rFonts w:ascii="微软雅黑" w:hAnsi="微软雅黑"/>
                <w:b/>
                <w:bCs/>
                <w:sz w:val="18"/>
                <w:szCs w:val="18"/>
              </w:rPr>
            </w:pPr>
          </w:p>
        </w:tc>
      </w:tr>
      <w:tr>
        <w:tblPrEx>
          <w:tblCellMar>
            <w:top w:w="0" w:type="dxa"/>
            <w:left w:w="30" w:type="dxa"/>
            <w:bottom w:w="0" w:type="dxa"/>
            <w:right w:w="30" w:type="dxa"/>
          </w:tblCellMar>
        </w:tblPrEx>
        <w:trPr>
          <w:cantSplit/>
          <w:trHeight w:val="334" w:hRule="atLeast"/>
          <w:jc w:val="center"/>
        </w:trPr>
        <w:tc>
          <w:tcPr>
            <w:tcW w:w="187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r>
              <w:rPr>
                <w:rFonts w:hint="eastAsia" w:ascii="微软雅黑" w:hAnsi="微软雅黑"/>
                <w:b/>
                <w:color w:val="000000"/>
                <w:sz w:val="18"/>
                <w:szCs w:val="18"/>
              </w:rPr>
              <w:t>业务覆盖区域</w:t>
            </w:r>
          </w:p>
        </w:tc>
        <w:tc>
          <w:tcPr>
            <w:tcW w:w="7309"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color w:val="000000"/>
                <w:sz w:val="18"/>
                <w:szCs w:val="18"/>
              </w:rPr>
            </w:pPr>
          </w:p>
        </w:tc>
      </w:tr>
      <w:tr>
        <w:tblPrEx>
          <w:tblCellMar>
            <w:top w:w="0" w:type="dxa"/>
            <w:left w:w="30" w:type="dxa"/>
            <w:bottom w:w="0" w:type="dxa"/>
            <w:right w:w="30" w:type="dxa"/>
          </w:tblCellMar>
        </w:tblPrEx>
        <w:trPr>
          <w:cantSplit/>
          <w:trHeight w:val="365" w:hRule="atLeast"/>
          <w:jc w:val="center"/>
        </w:trPr>
        <w:tc>
          <w:tcPr>
            <w:tcW w:w="1871" w:type="dxa"/>
            <w:tcBorders>
              <w:top w:val="single" w:color="auto" w:sz="6" w:space="0"/>
              <w:left w:val="single" w:color="auto" w:sz="6" w:space="0"/>
              <w:right w:val="single" w:color="auto" w:sz="6" w:space="0"/>
            </w:tcBorders>
            <w:vAlign w:val="center"/>
          </w:tcPr>
          <w:p>
            <w:pPr>
              <w:autoSpaceDE w:val="0"/>
              <w:autoSpaceDN w:val="0"/>
              <w:spacing w:after="0"/>
              <w:jc w:val="center"/>
              <w:rPr>
                <w:rFonts w:ascii="微软雅黑" w:hAnsi="微软雅黑"/>
                <w:color w:val="000000"/>
                <w:sz w:val="18"/>
                <w:szCs w:val="18"/>
              </w:rPr>
            </w:pPr>
            <w:r>
              <w:rPr>
                <w:rFonts w:hint="eastAsia" w:ascii="微软雅黑" w:hAnsi="微软雅黑"/>
                <w:b/>
                <w:color w:val="000000"/>
                <w:sz w:val="18"/>
                <w:szCs w:val="18"/>
              </w:rPr>
              <w:t>企业授权及资质说明</w:t>
            </w:r>
          </w:p>
        </w:tc>
        <w:tc>
          <w:tcPr>
            <w:tcW w:w="7309" w:type="dxa"/>
            <w:gridSpan w:val="3"/>
            <w:tcBorders>
              <w:top w:val="single" w:color="auto" w:sz="6" w:space="0"/>
              <w:left w:val="single" w:color="auto" w:sz="6" w:space="0"/>
              <w:right w:val="single" w:color="auto" w:sz="6" w:space="0"/>
            </w:tcBorders>
            <w:vAlign w:val="center"/>
          </w:tcPr>
          <w:p>
            <w:pPr>
              <w:spacing w:after="0"/>
              <w:jc w:val="center"/>
              <w:rPr>
                <w:rFonts w:ascii="微软雅黑" w:hAnsi="微软雅黑"/>
                <w:b/>
                <w:color w:val="000000"/>
                <w:sz w:val="18"/>
                <w:szCs w:val="18"/>
              </w:rPr>
            </w:pPr>
          </w:p>
        </w:tc>
      </w:tr>
      <w:tr>
        <w:tblPrEx>
          <w:tblCellMar>
            <w:top w:w="0" w:type="dxa"/>
            <w:left w:w="30" w:type="dxa"/>
            <w:bottom w:w="0" w:type="dxa"/>
            <w:right w:w="30" w:type="dxa"/>
          </w:tblCellMar>
        </w:tblPrEx>
        <w:trPr>
          <w:cantSplit/>
          <w:trHeight w:val="396" w:hRule="atLeast"/>
          <w:jc w:val="center"/>
        </w:trPr>
        <w:tc>
          <w:tcPr>
            <w:tcW w:w="187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sz w:val="18"/>
                <w:szCs w:val="18"/>
              </w:rPr>
            </w:pPr>
            <w:r>
              <w:rPr>
                <w:rFonts w:hint="eastAsia" w:ascii="微软雅黑" w:hAnsi="微软雅黑"/>
                <w:b/>
                <w:sz w:val="18"/>
                <w:szCs w:val="18"/>
              </w:rPr>
              <w:t>优势业务说明</w:t>
            </w:r>
          </w:p>
        </w:tc>
        <w:tc>
          <w:tcPr>
            <w:tcW w:w="7309" w:type="dxa"/>
            <w:gridSpan w:val="3"/>
            <w:tcBorders>
              <w:top w:val="single" w:color="auto" w:sz="6" w:space="0"/>
              <w:left w:val="single" w:color="auto" w:sz="6" w:space="0"/>
              <w:bottom w:val="single" w:color="auto" w:sz="4" w:space="0"/>
              <w:right w:val="single" w:color="auto" w:sz="6" w:space="0"/>
            </w:tcBorders>
            <w:vAlign w:val="center"/>
          </w:tcPr>
          <w:p>
            <w:pPr>
              <w:autoSpaceDE w:val="0"/>
              <w:autoSpaceDN w:val="0"/>
              <w:spacing w:after="0"/>
              <w:jc w:val="center"/>
              <w:rPr>
                <w:rFonts w:ascii="微软雅黑" w:hAnsi="微软雅黑"/>
                <w:b/>
                <w:color w:val="000000"/>
                <w:sz w:val="18"/>
                <w:szCs w:val="18"/>
              </w:rPr>
            </w:pPr>
          </w:p>
        </w:tc>
      </w:tr>
    </w:tbl>
    <w:p>
      <w:pPr>
        <w:rPr>
          <w:rFonts w:ascii="微软雅黑" w:hAnsi="微软雅黑"/>
          <w:sz w:val="16"/>
          <w:szCs w:val="16"/>
        </w:rPr>
      </w:pPr>
    </w:p>
    <w:p>
      <w:pPr>
        <w:rPr>
          <w:rFonts w:ascii="微软雅黑" w:hAnsi="微软雅黑"/>
          <w:b/>
          <w:sz w:val="21"/>
          <w:szCs w:val="21"/>
        </w:rPr>
      </w:pPr>
      <w:r>
        <w:rPr>
          <w:rFonts w:hint="eastAsia" w:ascii="微软雅黑" w:hAnsi="微软雅黑"/>
          <w:b/>
          <w:sz w:val="21"/>
          <w:szCs w:val="21"/>
        </w:rPr>
        <w:t>2、服务优秀公司/项目情况一览表（近两年）</w:t>
      </w:r>
    </w:p>
    <w:tbl>
      <w:tblPr>
        <w:tblStyle w:val="9"/>
        <w:tblW w:w="9215" w:type="dxa"/>
        <w:tblInd w:w="-318" w:type="dxa"/>
        <w:tblLayout w:type="fixed"/>
        <w:tblCellMar>
          <w:top w:w="0" w:type="dxa"/>
          <w:left w:w="108" w:type="dxa"/>
          <w:bottom w:w="0" w:type="dxa"/>
          <w:right w:w="108" w:type="dxa"/>
        </w:tblCellMar>
      </w:tblPr>
      <w:tblGrid>
        <w:gridCol w:w="1246"/>
        <w:gridCol w:w="1955"/>
        <w:gridCol w:w="3178"/>
        <w:gridCol w:w="1277"/>
        <w:gridCol w:w="1559"/>
      </w:tblGrid>
      <w:tr>
        <w:tblPrEx>
          <w:tblCellMar>
            <w:top w:w="0" w:type="dxa"/>
            <w:left w:w="108" w:type="dxa"/>
            <w:bottom w:w="0" w:type="dxa"/>
            <w:right w:w="108" w:type="dxa"/>
          </w:tblCellMar>
        </w:tblPrEx>
        <w:trPr>
          <w:trHeight w:val="645" w:hRule="atLeast"/>
        </w:trPr>
        <w:tc>
          <w:tcPr>
            <w:tcW w:w="124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sz w:val="18"/>
                <w:szCs w:val="18"/>
              </w:rPr>
            </w:pPr>
            <w:r>
              <w:rPr>
                <w:rFonts w:hint="eastAsia" w:ascii="微软雅黑" w:hAnsi="微软雅黑"/>
                <w:b/>
                <w:sz w:val="18"/>
                <w:szCs w:val="18"/>
              </w:rPr>
              <w:t>供应商</w:t>
            </w:r>
          </w:p>
        </w:tc>
        <w:tc>
          <w:tcPr>
            <w:tcW w:w="195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sz w:val="18"/>
                <w:szCs w:val="18"/>
              </w:rPr>
            </w:pPr>
            <w:r>
              <w:rPr>
                <w:rFonts w:hint="eastAsia" w:ascii="微软雅黑" w:hAnsi="微软雅黑"/>
                <w:b/>
                <w:sz w:val="18"/>
                <w:szCs w:val="18"/>
              </w:rPr>
              <w:t>服务公司/项目</w:t>
            </w:r>
          </w:p>
        </w:tc>
        <w:tc>
          <w:tcPr>
            <w:tcW w:w="317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sz w:val="18"/>
                <w:szCs w:val="18"/>
              </w:rPr>
            </w:pPr>
            <w:r>
              <w:rPr>
                <w:rFonts w:hint="eastAsia" w:ascii="微软雅黑" w:hAnsi="微软雅黑"/>
                <w:b/>
                <w:sz w:val="18"/>
                <w:szCs w:val="18"/>
              </w:rPr>
              <w:t>服务内容简述</w:t>
            </w:r>
          </w:p>
        </w:tc>
        <w:tc>
          <w:tcPr>
            <w:tcW w:w="127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sz w:val="18"/>
                <w:szCs w:val="18"/>
              </w:rPr>
            </w:pPr>
            <w:r>
              <w:rPr>
                <w:rFonts w:hint="eastAsia" w:ascii="微软雅黑" w:hAnsi="微软雅黑"/>
                <w:b/>
                <w:sz w:val="18"/>
                <w:szCs w:val="18"/>
              </w:rPr>
              <w:t>合作金额</w:t>
            </w:r>
          </w:p>
        </w:tc>
        <w:tc>
          <w:tcPr>
            <w:tcW w:w="155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after="0"/>
              <w:jc w:val="center"/>
              <w:rPr>
                <w:rFonts w:ascii="微软雅黑" w:hAnsi="微软雅黑"/>
                <w:b/>
                <w:sz w:val="18"/>
                <w:szCs w:val="18"/>
              </w:rPr>
            </w:pPr>
            <w:r>
              <w:rPr>
                <w:rFonts w:hint="eastAsia" w:ascii="微软雅黑" w:hAnsi="微软雅黑"/>
                <w:b/>
                <w:sz w:val="18"/>
                <w:szCs w:val="18"/>
              </w:rPr>
              <w:t>合作日期</w:t>
            </w:r>
          </w:p>
        </w:tc>
      </w:tr>
      <w:tr>
        <w:tblPrEx>
          <w:tblCellMar>
            <w:top w:w="0" w:type="dxa"/>
            <w:left w:w="108" w:type="dxa"/>
            <w:bottom w:w="0" w:type="dxa"/>
            <w:right w:w="108" w:type="dxa"/>
          </w:tblCellMar>
        </w:tblPrEx>
        <w:trPr>
          <w:trHeight w:val="92" w:hRule="atLeast"/>
        </w:trPr>
        <w:tc>
          <w:tcPr>
            <w:tcW w:w="1246" w:type="dxa"/>
            <w:tcBorders>
              <w:top w:val="single" w:color="auto" w:sz="6" w:space="0"/>
              <w:left w:val="single" w:color="auto" w:sz="6" w:space="0"/>
              <w:bottom w:val="single" w:color="auto" w:sz="6" w:space="0"/>
              <w:right w:val="single" w:color="auto" w:sz="6" w:space="0"/>
            </w:tcBorders>
          </w:tcPr>
          <w:p>
            <w:pPr>
              <w:pStyle w:val="3"/>
              <w:spacing w:after="0"/>
              <w:ind w:left="110" w:leftChars="50" w:right="110" w:rightChars="50"/>
              <w:rPr>
                <w:rFonts w:ascii="微软雅黑" w:hAnsi="微软雅黑" w:eastAsia="微软雅黑"/>
                <w:sz w:val="18"/>
                <w:szCs w:val="18"/>
              </w:rPr>
            </w:pPr>
          </w:p>
        </w:tc>
        <w:tc>
          <w:tcPr>
            <w:tcW w:w="1955" w:type="dxa"/>
            <w:tcBorders>
              <w:top w:val="single" w:color="auto" w:sz="6" w:space="0"/>
              <w:left w:val="single" w:color="auto" w:sz="6" w:space="0"/>
              <w:bottom w:val="single" w:color="auto" w:sz="6" w:space="0"/>
              <w:right w:val="single" w:color="auto" w:sz="6" w:space="0"/>
            </w:tcBorders>
          </w:tcPr>
          <w:p>
            <w:pPr>
              <w:pStyle w:val="3"/>
              <w:spacing w:after="0"/>
              <w:ind w:left="110" w:leftChars="50" w:right="110" w:rightChars="50"/>
              <w:rPr>
                <w:rFonts w:ascii="微软雅黑" w:hAnsi="微软雅黑" w:eastAsia="微软雅黑"/>
                <w:sz w:val="18"/>
                <w:szCs w:val="18"/>
              </w:rPr>
            </w:pPr>
          </w:p>
        </w:tc>
        <w:tc>
          <w:tcPr>
            <w:tcW w:w="3178" w:type="dxa"/>
            <w:tcBorders>
              <w:top w:val="single" w:color="auto" w:sz="6" w:space="0"/>
              <w:left w:val="single" w:color="auto" w:sz="6" w:space="0"/>
              <w:bottom w:val="single" w:color="auto" w:sz="6" w:space="0"/>
              <w:right w:val="single" w:color="auto" w:sz="6" w:space="0"/>
            </w:tcBorders>
          </w:tcPr>
          <w:p>
            <w:pPr>
              <w:pStyle w:val="3"/>
              <w:spacing w:after="0"/>
              <w:ind w:left="110" w:leftChars="50" w:right="110" w:rightChars="50"/>
              <w:rPr>
                <w:rFonts w:ascii="微软雅黑" w:hAnsi="微软雅黑" w:eastAsia="微软雅黑"/>
                <w:sz w:val="18"/>
                <w:szCs w:val="18"/>
              </w:rPr>
            </w:pPr>
          </w:p>
        </w:tc>
        <w:tc>
          <w:tcPr>
            <w:tcW w:w="1277" w:type="dxa"/>
            <w:tcBorders>
              <w:top w:val="single" w:color="auto" w:sz="6" w:space="0"/>
              <w:left w:val="single" w:color="auto" w:sz="6" w:space="0"/>
              <w:bottom w:val="single" w:color="auto" w:sz="6" w:space="0"/>
              <w:right w:val="single" w:color="auto" w:sz="6" w:space="0"/>
            </w:tcBorders>
          </w:tcPr>
          <w:p>
            <w:pPr>
              <w:pStyle w:val="3"/>
              <w:spacing w:after="0"/>
              <w:ind w:left="110" w:leftChars="50" w:right="110" w:rightChars="50"/>
              <w:rPr>
                <w:rFonts w:ascii="微软雅黑" w:hAnsi="微软雅黑" w:eastAsia="微软雅黑"/>
                <w:sz w:val="18"/>
                <w:szCs w:val="18"/>
              </w:rPr>
            </w:pPr>
          </w:p>
        </w:tc>
        <w:tc>
          <w:tcPr>
            <w:tcW w:w="1559" w:type="dxa"/>
            <w:tcBorders>
              <w:top w:val="single" w:color="auto" w:sz="6" w:space="0"/>
              <w:left w:val="single" w:color="auto" w:sz="6" w:space="0"/>
              <w:bottom w:val="single" w:color="auto" w:sz="6" w:space="0"/>
              <w:right w:val="single" w:color="auto" w:sz="6" w:space="0"/>
            </w:tcBorders>
          </w:tcPr>
          <w:p>
            <w:pPr>
              <w:pStyle w:val="3"/>
              <w:spacing w:after="0"/>
              <w:ind w:left="110" w:leftChars="50" w:right="110" w:rightChars="50"/>
              <w:rPr>
                <w:rFonts w:ascii="微软雅黑" w:hAnsi="微软雅黑" w:eastAsia="微软雅黑"/>
                <w:sz w:val="18"/>
                <w:szCs w:val="18"/>
              </w:rPr>
            </w:pPr>
          </w:p>
        </w:tc>
      </w:tr>
    </w:tbl>
    <w:p>
      <w:pPr>
        <w:rPr>
          <w:rFonts w:ascii="微软雅黑" w:hAnsi="微软雅黑"/>
          <w:sz w:val="16"/>
          <w:szCs w:val="16"/>
        </w:rPr>
      </w:pPr>
    </w:p>
    <w:p>
      <w:pPr>
        <w:rPr>
          <w:rFonts w:ascii="微软雅黑" w:hAnsi="微软雅黑"/>
          <w:b/>
          <w:sz w:val="21"/>
          <w:szCs w:val="21"/>
        </w:rPr>
      </w:pPr>
      <w:r>
        <w:rPr>
          <w:rFonts w:hint="eastAsia" w:ascii="微软雅黑" w:hAnsi="微软雅黑"/>
          <w:b/>
          <w:sz w:val="21"/>
          <w:szCs w:val="21"/>
        </w:rPr>
        <w:t>3、企业资质复印件</w:t>
      </w:r>
    </w:p>
    <w:p>
      <w:pPr>
        <w:rPr>
          <w:rFonts w:ascii="微软雅黑" w:hAnsi="微软雅黑"/>
          <w:sz w:val="21"/>
          <w:szCs w:val="21"/>
        </w:rPr>
      </w:pPr>
      <w:r>
        <w:rPr>
          <w:rFonts w:hint="eastAsia" w:ascii="微软雅黑" w:hAnsi="微软雅黑"/>
          <w:sz w:val="21"/>
          <w:szCs w:val="21"/>
        </w:rPr>
        <w:t>（1）有效的营业执照（三证合一，正、副本）</w:t>
      </w:r>
    </w:p>
    <w:p>
      <w:pPr>
        <w:rPr>
          <w:rFonts w:ascii="微软雅黑" w:hAnsi="微软雅黑"/>
          <w:sz w:val="21"/>
          <w:szCs w:val="21"/>
        </w:rPr>
      </w:pPr>
      <w:r>
        <w:rPr>
          <w:rFonts w:hint="eastAsia" w:ascii="微软雅黑" w:hAnsi="微软雅黑"/>
          <w:sz w:val="21"/>
          <w:szCs w:val="21"/>
        </w:rPr>
        <w:t>原件扫描件：</w:t>
      </w:r>
    </w:p>
    <w:p>
      <w:pPr>
        <w:rPr>
          <w:rFonts w:ascii="微软雅黑" w:hAnsi="微软雅黑"/>
          <w:sz w:val="21"/>
          <w:szCs w:val="21"/>
        </w:rPr>
      </w:pPr>
      <w:r>
        <w:rPr>
          <w:rFonts w:hint="eastAsia" w:ascii="微软雅黑" w:hAnsi="微软雅黑"/>
          <w:sz w:val="21"/>
          <w:szCs w:val="21"/>
        </w:rPr>
        <w:t>（2）企业安全生产许可证</w:t>
      </w:r>
    </w:p>
    <w:p>
      <w:pPr>
        <w:rPr>
          <w:rFonts w:ascii="微软雅黑" w:hAnsi="微软雅黑"/>
          <w:sz w:val="21"/>
          <w:szCs w:val="21"/>
        </w:rPr>
      </w:pPr>
      <w:r>
        <w:rPr>
          <w:rFonts w:hint="eastAsia" w:ascii="微软雅黑" w:hAnsi="微软雅黑"/>
          <w:sz w:val="21"/>
          <w:szCs w:val="21"/>
        </w:rPr>
        <w:t>原件扫描件：</w:t>
      </w:r>
    </w:p>
    <w:p>
      <w:pPr>
        <w:rPr>
          <w:rFonts w:ascii="微软雅黑" w:hAnsi="微软雅黑"/>
          <w:sz w:val="21"/>
          <w:szCs w:val="21"/>
        </w:rPr>
      </w:pPr>
      <w:r>
        <w:rPr>
          <w:rFonts w:hint="eastAsia" w:ascii="微软雅黑" w:hAnsi="微软雅黑"/>
          <w:sz w:val="21"/>
          <w:szCs w:val="21"/>
        </w:rPr>
        <w:t>（</w:t>
      </w:r>
      <w:r>
        <w:rPr>
          <w:rFonts w:hint="eastAsia" w:ascii="微软雅黑" w:hAnsi="微软雅黑"/>
          <w:sz w:val="21"/>
          <w:szCs w:val="21"/>
          <w:lang w:val="en-US" w:eastAsia="zh-CN"/>
        </w:rPr>
        <w:t>3</w:t>
      </w:r>
      <w:r>
        <w:rPr>
          <w:rFonts w:hint="eastAsia" w:ascii="微软雅黑" w:hAnsi="微软雅黑"/>
          <w:sz w:val="21"/>
          <w:szCs w:val="21"/>
        </w:rPr>
        <w:t>）企业所有有效的各种资质等级证书、获奖证书等</w:t>
      </w:r>
    </w:p>
    <w:p>
      <w:pPr>
        <w:rPr>
          <w:rFonts w:ascii="微软雅黑" w:hAnsi="微软雅黑"/>
          <w:sz w:val="21"/>
          <w:szCs w:val="21"/>
        </w:rPr>
      </w:pPr>
      <w:r>
        <w:rPr>
          <w:rFonts w:hint="eastAsia" w:ascii="微软雅黑" w:hAnsi="微软雅黑"/>
          <w:sz w:val="21"/>
          <w:szCs w:val="21"/>
        </w:rPr>
        <w:t>原件扫描件：</w:t>
      </w:r>
    </w:p>
    <w:p>
      <w:pPr>
        <w:numPr>
          <w:ilvl w:val="0"/>
          <w:numId w:val="2"/>
        </w:numPr>
        <w:rPr>
          <w:rFonts w:hint="eastAsia" w:ascii="微软雅黑" w:hAnsi="微软雅黑"/>
          <w:b/>
          <w:sz w:val="21"/>
          <w:szCs w:val="21"/>
        </w:rPr>
      </w:pPr>
      <w:r>
        <w:rPr>
          <w:rFonts w:hint="eastAsia" w:ascii="微软雅黑" w:hAnsi="微软雅黑"/>
          <w:b/>
          <w:sz w:val="21"/>
          <w:szCs w:val="21"/>
        </w:rPr>
        <w:t>供应商企业照片展示及优秀案例展示（U盘装载电子资料）</w:t>
      </w:r>
      <w:r>
        <w:rPr>
          <w:rFonts w:hint="eastAsia" w:ascii="微软雅黑" w:hAnsi="微软雅黑"/>
          <w:b/>
          <w:sz w:val="21"/>
          <w:szCs w:val="21"/>
          <w:lang w:eastAsia="zh-CN"/>
        </w:rPr>
        <w:t>；</w:t>
      </w:r>
    </w:p>
    <w:p>
      <w:pPr>
        <w:numPr>
          <w:ilvl w:val="0"/>
          <w:numId w:val="2"/>
        </w:numPr>
        <w:rPr>
          <w:rFonts w:hint="eastAsia" w:ascii="微软雅黑" w:hAnsi="微软雅黑"/>
          <w:b/>
          <w:sz w:val="21"/>
          <w:szCs w:val="21"/>
        </w:rPr>
      </w:pPr>
      <w:r>
        <w:rPr>
          <w:rFonts w:hint="eastAsia" w:ascii="微软雅黑" w:hAnsi="微软雅黑"/>
          <w:b/>
          <w:sz w:val="21"/>
          <w:szCs w:val="21"/>
          <w:lang w:val="en-US" w:eastAsia="zh-CN"/>
        </w:rPr>
        <w:t>不少于3份</w:t>
      </w:r>
      <w:r>
        <w:rPr>
          <w:rFonts w:hint="eastAsia" w:ascii="微软雅黑" w:hAnsi="微软雅黑"/>
          <w:b/>
          <w:sz w:val="21"/>
          <w:szCs w:val="21"/>
        </w:rPr>
        <w:t>全国</w:t>
      </w:r>
      <w:r>
        <w:rPr>
          <w:rFonts w:hint="eastAsia" w:ascii="微软雅黑" w:hAnsi="微软雅黑"/>
          <w:b/>
          <w:sz w:val="21"/>
          <w:szCs w:val="21"/>
          <w:lang w:val="en-US" w:eastAsia="zh-CN"/>
        </w:rPr>
        <w:t>排名前</w:t>
      </w:r>
      <w:r>
        <w:rPr>
          <w:rFonts w:hint="eastAsia" w:ascii="微软雅黑" w:hAnsi="微软雅黑"/>
          <w:b/>
          <w:sz w:val="21"/>
          <w:szCs w:val="21"/>
        </w:rPr>
        <w:t>50强房企盖章版合作合同</w:t>
      </w:r>
      <w:r>
        <w:rPr>
          <w:rFonts w:hint="eastAsia" w:ascii="微软雅黑" w:hAnsi="微软雅黑"/>
          <w:b/>
          <w:sz w:val="21"/>
          <w:szCs w:val="21"/>
          <w:lang w:val="en-US" w:eastAsia="zh-CN"/>
        </w:rPr>
        <w:t>原件或复印件（我方保留复印件，投标单位提供的合同需真实，若甲方在合同履行期间发现中标单位提供合同有虚假，则甲方有权解除合同）。</w:t>
      </w:r>
    </w:p>
    <w:p>
      <w:pPr>
        <w:spacing w:after="0"/>
        <w:rPr>
          <w:sz w:val="21"/>
        </w:rPr>
      </w:pPr>
    </w:p>
    <w:p>
      <w:pPr>
        <w:spacing w:after="0"/>
        <w:rPr>
          <w:sz w:val="21"/>
        </w:rPr>
      </w:pPr>
      <w:r>
        <w:rPr>
          <w:rFonts w:hint="eastAsia"/>
          <w:sz w:val="21"/>
        </w:rPr>
        <w:t>附件三：</w:t>
      </w:r>
    </w:p>
    <w:p>
      <w:pPr>
        <w:jc w:val="center"/>
        <w:rPr>
          <w:rFonts w:hint="eastAsia" w:ascii="微软雅黑" w:hAnsi="微软雅黑" w:cs="微软雅黑"/>
          <w:b/>
          <w:bCs/>
          <w:sz w:val="24"/>
          <w:szCs w:val="32"/>
        </w:rPr>
      </w:pPr>
      <w:bookmarkStart w:id="0" w:name="_GoBack"/>
      <w:bookmarkEnd w:id="0"/>
    </w:p>
    <w:p>
      <w:pPr>
        <w:jc w:val="center"/>
        <w:rPr>
          <w:rFonts w:hint="eastAsia" w:ascii="微软雅黑" w:hAnsi="微软雅黑" w:cs="微软雅黑"/>
          <w:b/>
          <w:bCs/>
          <w:sz w:val="24"/>
          <w:szCs w:val="32"/>
        </w:rPr>
      </w:pPr>
      <w:r>
        <w:rPr>
          <w:rFonts w:hint="eastAsia" w:ascii="微软雅黑" w:hAnsi="微软雅黑" w:cs="微软雅黑"/>
          <w:b/>
          <w:bCs/>
          <w:sz w:val="24"/>
          <w:szCs w:val="32"/>
        </w:rPr>
        <w:t>宣传片商务报价单</w:t>
      </w:r>
    </w:p>
    <w:p>
      <w:pPr>
        <w:jc w:val="left"/>
        <w:rPr>
          <w:rFonts w:hint="default" w:ascii="微软雅黑" w:hAnsi="微软雅黑" w:eastAsia="微软雅黑" w:cs="微软雅黑"/>
          <w:b/>
          <w:bCs/>
          <w:sz w:val="24"/>
          <w:szCs w:val="32"/>
          <w:lang w:val="en-US" w:eastAsia="zh-CN"/>
        </w:rPr>
      </w:pPr>
      <w:r>
        <w:rPr>
          <w:rFonts w:hint="eastAsia" w:ascii="微软雅黑" w:hAnsi="微软雅黑" w:cs="微软雅黑"/>
          <w:b/>
          <w:bCs/>
          <w:sz w:val="24"/>
          <w:szCs w:val="32"/>
          <w:lang w:val="en-US" w:eastAsia="zh-CN"/>
        </w:rPr>
        <w:t>制作内容一：城建·山水闲庭项目宣传片</w:t>
      </w:r>
    </w:p>
    <w:tbl>
      <w:tblPr>
        <w:tblStyle w:val="10"/>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1"/>
        <w:gridCol w:w="2604"/>
        <w:gridCol w:w="2446"/>
        <w:gridCol w:w="1601"/>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791" w:type="dxa"/>
            <w:vAlign w:val="center"/>
          </w:tcPr>
          <w:p>
            <w:pPr>
              <w:widowControl/>
              <w:spacing w:after="0"/>
              <w:jc w:val="center"/>
              <w:rPr>
                <w:rFonts w:ascii="微软雅黑" w:hAnsi="微软雅黑" w:cs="微软雅黑"/>
                <w:sz w:val="21"/>
                <w:szCs w:val="24"/>
              </w:rPr>
            </w:pPr>
            <w:r>
              <w:rPr>
                <w:rFonts w:hint="eastAsia" w:ascii="微软雅黑" w:hAnsi="微软雅黑" w:cs="微软雅黑"/>
                <w:sz w:val="21"/>
                <w:szCs w:val="24"/>
              </w:rPr>
              <w:t>宣传片规格</w:t>
            </w:r>
          </w:p>
        </w:tc>
        <w:tc>
          <w:tcPr>
            <w:tcW w:w="2604" w:type="dxa"/>
            <w:vAlign w:val="center"/>
          </w:tcPr>
          <w:p>
            <w:pPr>
              <w:widowControl/>
              <w:spacing w:after="0"/>
              <w:jc w:val="center"/>
              <w:rPr>
                <w:rFonts w:ascii="微软雅黑" w:hAnsi="微软雅黑" w:cs="微软雅黑"/>
                <w:sz w:val="21"/>
                <w:szCs w:val="24"/>
              </w:rPr>
            </w:pPr>
            <w:r>
              <w:rPr>
                <w:rFonts w:hint="eastAsia" w:ascii="微软雅黑" w:hAnsi="微软雅黑" w:cs="微软雅黑"/>
                <w:sz w:val="21"/>
                <w:szCs w:val="24"/>
              </w:rPr>
              <w:t>宣传片形式</w:t>
            </w:r>
          </w:p>
        </w:tc>
        <w:tc>
          <w:tcPr>
            <w:tcW w:w="2446" w:type="dxa"/>
            <w:vAlign w:val="center"/>
          </w:tcPr>
          <w:p>
            <w:pPr>
              <w:widowControl/>
              <w:spacing w:after="0"/>
              <w:jc w:val="center"/>
              <w:rPr>
                <w:rFonts w:ascii="微软雅黑" w:hAnsi="微软雅黑" w:cs="微软雅黑"/>
                <w:sz w:val="21"/>
                <w:szCs w:val="24"/>
              </w:rPr>
            </w:pPr>
            <w:r>
              <w:rPr>
                <w:rFonts w:hint="eastAsia" w:ascii="微软雅黑" w:hAnsi="微软雅黑" w:cs="微软雅黑"/>
                <w:sz w:val="21"/>
                <w:szCs w:val="24"/>
              </w:rPr>
              <w:t>服务要求</w:t>
            </w:r>
          </w:p>
        </w:tc>
        <w:tc>
          <w:tcPr>
            <w:tcW w:w="1601" w:type="dxa"/>
            <w:vAlign w:val="center"/>
          </w:tcPr>
          <w:p>
            <w:pPr>
              <w:widowControl/>
              <w:spacing w:after="0"/>
              <w:jc w:val="center"/>
              <w:rPr>
                <w:rFonts w:ascii="微软雅黑" w:hAnsi="微软雅黑" w:cs="微软雅黑"/>
                <w:sz w:val="21"/>
                <w:szCs w:val="24"/>
              </w:rPr>
            </w:pPr>
            <w:r>
              <w:rPr>
                <w:rFonts w:hint="eastAsia" w:ascii="微软雅黑" w:hAnsi="微软雅黑" w:cs="微软雅黑"/>
                <w:sz w:val="21"/>
                <w:szCs w:val="24"/>
              </w:rPr>
              <w:t>计价单位</w:t>
            </w:r>
          </w:p>
        </w:tc>
        <w:tc>
          <w:tcPr>
            <w:tcW w:w="1765" w:type="dxa"/>
            <w:vAlign w:val="center"/>
          </w:tcPr>
          <w:p>
            <w:pPr>
              <w:widowControl/>
              <w:spacing w:after="0"/>
              <w:jc w:val="center"/>
              <w:rPr>
                <w:rFonts w:ascii="微软雅黑" w:hAnsi="微软雅黑" w:cs="微软雅黑"/>
                <w:sz w:val="21"/>
                <w:szCs w:val="24"/>
              </w:rPr>
            </w:pPr>
            <w:r>
              <w:rPr>
                <w:rFonts w:hint="eastAsia" w:ascii="微软雅黑" w:hAnsi="微软雅黑" w:cs="微软雅黑"/>
                <w:sz w:val="21"/>
                <w:szCs w:val="24"/>
              </w:rPr>
              <w:t>报价（单价）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vMerge w:val="restart"/>
            <w:vAlign w:val="center"/>
          </w:tcPr>
          <w:p>
            <w:pPr>
              <w:widowControl w:val="0"/>
              <w:jc w:val="center"/>
              <w:rPr>
                <w:rFonts w:ascii="微软雅黑" w:hAnsi="微软雅黑" w:cs="微软雅黑"/>
                <w:sz w:val="21"/>
                <w:szCs w:val="24"/>
              </w:rPr>
            </w:pPr>
            <w:r>
              <w:rPr>
                <w:rFonts w:hint="eastAsia" w:ascii="微软雅黑" w:hAnsi="微软雅黑" w:cs="微软雅黑"/>
                <w:sz w:val="21"/>
                <w:szCs w:val="24"/>
              </w:rPr>
              <w:t>1920*1080P</w:t>
            </w:r>
          </w:p>
        </w:tc>
        <w:tc>
          <w:tcPr>
            <w:tcW w:w="2604" w:type="dxa"/>
            <w:vAlign w:val="center"/>
          </w:tcPr>
          <w:p>
            <w:pPr>
              <w:widowControl/>
              <w:spacing w:after="0"/>
              <w:jc w:val="center"/>
              <w:rPr>
                <w:rFonts w:ascii="微软雅黑" w:hAnsi="微软雅黑" w:cs="微软雅黑"/>
                <w:sz w:val="21"/>
                <w:szCs w:val="24"/>
              </w:rPr>
            </w:pPr>
            <w:r>
              <w:rPr>
                <w:rFonts w:hint="eastAsia" w:ascii="微软雅黑" w:hAnsi="微软雅黑" w:cs="微软雅黑"/>
                <w:sz w:val="21"/>
                <w:szCs w:val="24"/>
              </w:rPr>
              <w:t>纯三维</w:t>
            </w:r>
          </w:p>
        </w:tc>
        <w:tc>
          <w:tcPr>
            <w:tcW w:w="2446" w:type="dxa"/>
            <w:vAlign w:val="center"/>
          </w:tcPr>
          <w:p>
            <w:pPr>
              <w:widowControl/>
              <w:spacing w:after="0"/>
              <w:jc w:val="both"/>
              <w:rPr>
                <w:rFonts w:ascii="微软雅黑" w:hAnsi="微软雅黑" w:cs="微软雅黑"/>
                <w:sz w:val="21"/>
                <w:szCs w:val="24"/>
              </w:rPr>
            </w:pPr>
            <w:r>
              <w:rPr>
                <w:rFonts w:hint="eastAsia" w:ascii="微软雅黑" w:hAnsi="微软雅黑" w:cs="微软雅黑"/>
                <w:sz w:val="21"/>
                <w:szCs w:val="24"/>
              </w:rPr>
              <w:t>含脚本、配音、剪辑</w:t>
            </w:r>
          </w:p>
        </w:tc>
        <w:tc>
          <w:tcPr>
            <w:tcW w:w="1601" w:type="dxa"/>
            <w:vAlign w:val="center"/>
          </w:tcPr>
          <w:p>
            <w:pPr>
              <w:widowControl/>
              <w:spacing w:after="0"/>
              <w:jc w:val="center"/>
              <w:rPr>
                <w:rFonts w:ascii="微软雅黑" w:hAnsi="微软雅黑" w:cs="微软雅黑"/>
                <w:sz w:val="21"/>
                <w:szCs w:val="24"/>
              </w:rPr>
            </w:pPr>
            <w:r>
              <w:rPr>
                <w:rFonts w:hint="eastAsia" w:ascii="微软雅黑" w:hAnsi="微软雅黑" w:cs="微软雅黑"/>
                <w:sz w:val="21"/>
                <w:szCs w:val="24"/>
                <w:lang w:eastAsia="zh-CN"/>
              </w:rPr>
              <w:t>元</w:t>
            </w:r>
            <w:r>
              <w:rPr>
                <w:rFonts w:hint="eastAsia" w:ascii="微软雅黑" w:hAnsi="微软雅黑" w:cs="微软雅黑"/>
                <w:sz w:val="21"/>
                <w:szCs w:val="24"/>
                <w:lang w:val="en-US" w:eastAsia="zh-CN"/>
              </w:rPr>
              <w:t>/</w:t>
            </w:r>
            <w:r>
              <w:rPr>
                <w:rFonts w:hint="eastAsia" w:ascii="微软雅黑" w:hAnsi="微软雅黑" w:cs="微软雅黑"/>
                <w:sz w:val="21"/>
                <w:szCs w:val="24"/>
              </w:rPr>
              <w:t>每秒</w:t>
            </w:r>
          </w:p>
        </w:tc>
        <w:tc>
          <w:tcPr>
            <w:tcW w:w="1765" w:type="dxa"/>
            <w:vAlign w:val="center"/>
          </w:tcPr>
          <w:p>
            <w:pPr>
              <w:widowControl w:val="0"/>
              <w:jc w:val="center"/>
              <w:rPr>
                <w:rFonts w:ascii="微软雅黑" w:hAnsi="微软雅黑" w:cs="微软雅黑"/>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vMerge w:val="continue"/>
            <w:vAlign w:val="center"/>
          </w:tcPr>
          <w:p>
            <w:pPr>
              <w:widowControl w:val="0"/>
              <w:jc w:val="center"/>
              <w:rPr>
                <w:rFonts w:ascii="微软雅黑" w:hAnsi="微软雅黑" w:cs="微软雅黑"/>
                <w:sz w:val="21"/>
                <w:szCs w:val="24"/>
              </w:rPr>
            </w:pPr>
          </w:p>
        </w:tc>
        <w:tc>
          <w:tcPr>
            <w:tcW w:w="2604" w:type="dxa"/>
            <w:vAlign w:val="center"/>
          </w:tcPr>
          <w:p>
            <w:pPr>
              <w:widowControl/>
              <w:spacing w:after="0"/>
              <w:jc w:val="center"/>
              <w:rPr>
                <w:rFonts w:ascii="微软雅黑" w:hAnsi="微软雅黑" w:cs="微软雅黑"/>
                <w:sz w:val="21"/>
                <w:szCs w:val="24"/>
              </w:rPr>
            </w:pPr>
            <w:r>
              <w:rPr>
                <w:rFonts w:hint="eastAsia" w:ascii="微软雅黑" w:hAnsi="微软雅黑" w:cs="微软雅黑"/>
                <w:sz w:val="21"/>
                <w:szCs w:val="24"/>
              </w:rPr>
              <w:t>真人&amp;实景拍摄</w:t>
            </w:r>
          </w:p>
        </w:tc>
        <w:tc>
          <w:tcPr>
            <w:tcW w:w="2446" w:type="dxa"/>
            <w:vAlign w:val="center"/>
          </w:tcPr>
          <w:p>
            <w:pPr>
              <w:widowControl/>
              <w:spacing w:after="0"/>
              <w:jc w:val="both"/>
              <w:rPr>
                <w:rFonts w:ascii="微软雅黑" w:hAnsi="微软雅黑" w:cs="微软雅黑"/>
                <w:sz w:val="21"/>
                <w:szCs w:val="24"/>
              </w:rPr>
            </w:pPr>
            <w:r>
              <w:rPr>
                <w:rFonts w:hint="eastAsia" w:ascii="微软雅黑" w:hAnsi="微软雅黑" w:cs="微软雅黑"/>
                <w:sz w:val="21"/>
                <w:szCs w:val="24"/>
              </w:rPr>
              <w:t>含脚本、配音和剪辑</w:t>
            </w:r>
          </w:p>
        </w:tc>
        <w:tc>
          <w:tcPr>
            <w:tcW w:w="1601" w:type="dxa"/>
            <w:vAlign w:val="center"/>
          </w:tcPr>
          <w:p>
            <w:pPr>
              <w:widowControl/>
              <w:spacing w:after="0"/>
              <w:jc w:val="center"/>
              <w:rPr>
                <w:rFonts w:ascii="微软雅黑" w:hAnsi="微软雅黑" w:cs="微软雅黑"/>
                <w:sz w:val="21"/>
                <w:szCs w:val="24"/>
              </w:rPr>
            </w:pPr>
            <w:r>
              <w:rPr>
                <w:rFonts w:hint="eastAsia" w:ascii="微软雅黑" w:hAnsi="微软雅黑" w:cs="微软雅黑"/>
                <w:sz w:val="21"/>
                <w:szCs w:val="24"/>
                <w:lang w:eastAsia="zh-CN"/>
              </w:rPr>
              <w:t>元</w:t>
            </w:r>
            <w:r>
              <w:rPr>
                <w:rFonts w:hint="eastAsia" w:ascii="微软雅黑" w:hAnsi="微软雅黑" w:cs="微软雅黑"/>
                <w:sz w:val="21"/>
                <w:szCs w:val="24"/>
                <w:lang w:val="en-US" w:eastAsia="zh-CN"/>
              </w:rPr>
              <w:t>/</w:t>
            </w:r>
            <w:r>
              <w:rPr>
                <w:rFonts w:hint="eastAsia" w:ascii="微软雅黑" w:hAnsi="微软雅黑" w:cs="微软雅黑"/>
                <w:sz w:val="21"/>
                <w:szCs w:val="24"/>
              </w:rPr>
              <w:t>每秒</w:t>
            </w:r>
          </w:p>
        </w:tc>
        <w:tc>
          <w:tcPr>
            <w:tcW w:w="1765" w:type="dxa"/>
            <w:vAlign w:val="center"/>
          </w:tcPr>
          <w:p>
            <w:pPr>
              <w:widowControl w:val="0"/>
              <w:jc w:val="center"/>
              <w:rPr>
                <w:rFonts w:ascii="微软雅黑" w:hAnsi="微软雅黑" w:cs="微软雅黑"/>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1" w:type="dxa"/>
            <w:gridSpan w:val="3"/>
            <w:vAlign w:val="center"/>
          </w:tcPr>
          <w:p>
            <w:pPr>
              <w:widowControl w:val="0"/>
              <w:spacing w:after="0"/>
              <w:ind w:firstLine="2940" w:firstLineChars="1400"/>
              <w:jc w:val="both"/>
              <w:rPr>
                <w:rFonts w:hint="eastAsia" w:ascii="微软雅黑" w:hAnsi="微软雅黑" w:eastAsia="微软雅黑" w:cs="微软雅黑"/>
                <w:sz w:val="21"/>
                <w:szCs w:val="24"/>
                <w:lang w:eastAsia="zh-CN"/>
              </w:rPr>
            </w:pPr>
            <w:r>
              <w:rPr>
                <w:rFonts w:hint="eastAsia" w:ascii="微软雅黑" w:hAnsi="微软雅黑" w:cs="微软雅黑"/>
                <w:sz w:val="21"/>
                <w:szCs w:val="24"/>
              </w:rPr>
              <w:t>税率</w:t>
            </w:r>
            <w:r>
              <w:rPr>
                <w:rFonts w:hint="eastAsia" w:ascii="微软雅黑" w:hAnsi="微软雅黑" w:cs="微软雅黑"/>
                <w:sz w:val="21"/>
                <w:szCs w:val="24"/>
                <w:lang w:eastAsia="zh-CN"/>
              </w:rPr>
              <w:t>（含税）</w:t>
            </w:r>
          </w:p>
        </w:tc>
        <w:tc>
          <w:tcPr>
            <w:tcW w:w="3366" w:type="dxa"/>
            <w:gridSpan w:val="2"/>
            <w:vAlign w:val="center"/>
          </w:tcPr>
          <w:p>
            <w:pPr>
              <w:widowControl w:val="0"/>
              <w:jc w:val="center"/>
              <w:rPr>
                <w:rFonts w:ascii="微软雅黑" w:hAnsi="微软雅黑" w:cs="微软雅黑"/>
                <w:sz w:val="21"/>
                <w:szCs w:val="24"/>
              </w:rPr>
            </w:pPr>
          </w:p>
        </w:tc>
      </w:tr>
    </w:tbl>
    <w:p>
      <w:pPr>
        <w:jc w:val="left"/>
        <w:rPr>
          <w:rFonts w:hint="eastAsia" w:ascii="微软雅黑" w:hAnsi="微软雅黑" w:cs="微软雅黑"/>
          <w:b/>
          <w:bCs/>
          <w:color w:val="FF0000"/>
          <w:sz w:val="24"/>
          <w:szCs w:val="32"/>
          <w:lang w:val="en-US" w:eastAsia="zh-CN"/>
        </w:rPr>
      </w:pPr>
      <w:r>
        <w:rPr>
          <w:rFonts w:hint="eastAsia" w:ascii="微软雅黑" w:hAnsi="微软雅黑" w:cs="微软雅黑"/>
          <w:b/>
          <w:bCs/>
          <w:color w:val="FF0000"/>
          <w:sz w:val="24"/>
          <w:szCs w:val="32"/>
          <w:lang w:val="en-US" w:eastAsia="zh-CN"/>
        </w:rPr>
        <w:t>备注：1、宣传片时长控制在180秒内；</w:t>
      </w:r>
    </w:p>
    <w:p>
      <w:pPr>
        <w:ind w:firstLine="720" w:firstLineChars="300"/>
        <w:jc w:val="left"/>
        <w:rPr>
          <w:rFonts w:hint="default" w:ascii="微软雅黑" w:hAnsi="微软雅黑" w:eastAsia="微软雅黑" w:cs="微软雅黑"/>
          <w:b/>
          <w:bCs/>
          <w:color w:val="FF0000"/>
          <w:sz w:val="24"/>
          <w:szCs w:val="32"/>
          <w:lang w:val="en-US" w:eastAsia="zh-CN" w:bidi="ar-SA"/>
        </w:rPr>
      </w:pPr>
      <w:r>
        <w:rPr>
          <w:rFonts w:hint="eastAsia" w:ascii="微软雅黑" w:hAnsi="微软雅黑" w:eastAsia="微软雅黑" w:cs="微软雅黑"/>
          <w:b/>
          <w:bCs/>
          <w:color w:val="FF0000"/>
          <w:sz w:val="24"/>
          <w:szCs w:val="32"/>
          <w:lang w:val="en-US" w:eastAsia="zh-CN" w:bidi="ar-SA"/>
        </w:rPr>
        <w:t>2、计费方式为选定某种宣传片形式，则全片按其单价计算，如宣传片中含有真人、实景拍摄，则全片按真人、实景拍摄的单价计费。</w:t>
      </w:r>
    </w:p>
    <w:p>
      <w:pPr>
        <w:jc w:val="left"/>
        <w:rPr>
          <w:rFonts w:hint="eastAsia" w:ascii="微软雅黑" w:hAnsi="微软雅黑" w:cs="微软雅黑"/>
          <w:b/>
          <w:bCs/>
          <w:sz w:val="24"/>
          <w:szCs w:val="32"/>
          <w:lang w:val="en-US" w:eastAsia="zh-CN"/>
        </w:rPr>
      </w:pPr>
    </w:p>
    <w:p>
      <w:pPr>
        <w:pStyle w:val="8"/>
        <w:rPr>
          <w:rFonts w:hint="eastAsia"/>
          <w:lang w:val="en-US" w:eastAsia="zh-CN"/>
        </w:rPr>
      </w:pPr>
    </w:p>
    <w:p>
      <w:pPr>
        <w:jc w:val="left"/>
        <w:rPr>
          <w:rFonts w:hint="default" w:ascii="微软雅黑" w:hAnsi="微软雅黑" w:cs="微软雅黑"/>
          <w:b/>
          <w:bCs/>
          <w:sz w:val="24"/>
          <w:szCs w:val="32"/>
          <w:lang w:val="en-US" w:eastAsia="zh-CN"/>
        </w:rPr>
      </w:pPr>
      <w:r>
        <w:rPr>
          <w:rFonts w:hint="eastAsia" w:ascii="微软雅黑" w:hAnsi="微软雅黑" w:cs="微软雅黑"/>
          <w:b/>
          <w:bCs/>
          <w:sz w:val="24"/>
          <w:szCs w:val="32"/>
          <w:lang w:val="en-US" w:eastAsia="zh-CN"/>
        </w:rPr>
        <w:t>制作内容二：城建·山水闲庭项目户型VR系统</w:t>
      </w:r>
    </w:p>
    <w:tbl>
      <w:tblPr>
        <w:tblStyle w:val="10"/>
        <w:tblW w:w="101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4"/>
        <w:gridCol w:w="2400"/>
        <w:gridCol w:w="1290"/>
        <w:gridCol w:w="1575"/>
        <w:gridCol w:w="1590"/>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9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center"/>
              <w:rPr>
                <w:rFonts w:hint="default" w:ascii="微软雅黑" w:hAnsi="微软雅黑" w:eastAsia="微软雅黑" w:cs="微软雅黑"/>
                <w:color w:val="000000"/>
                <w:sz w:val="21"/>
                <w:szCs w:val="24"/>
                <w:lang w:val="en-US" w:eastAsia="zh-CN"/>
              </w:rPr>
            </w:pPr>
            <w:r>
              <w:rPr>
                <w:rFonts w:hint="eastAsia" w:ascii="微软雅黑" w:hAnsi="微软雅黑" w:cs="微软雅黑"/>
                <w:color w:val="000000"/>
                <w:sz w:val="21"/>
                <w:szCs w:val="24"/>
                <w:lang w:val="en-US" w:eastAsia="zh-CN"/>
              </w:rPr>
              <w:t>制作内容</w:t>
            </w:r>
          </w:p>
        </w:tc>
        <w:tc>
          <w:tcPr>
            <w:tcW w:w="2400"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center"/>
              <w:rPr>
                <w:rFonts w:ascii="微软雅黑" w:hAnsi="微软雅黑" w:cs="微软雅黑"/>
                <w:color w:val="000000"/>
                <w:sz w:val="21"/>
                <w:szCs w:val="24"/>
              </w:rPr>
            </w:pPr>
            <w:r>
              <w:rPr>
                <w:rFonts w:hint="eastAsia" w:ascii="微软雅黑" w:hAnsi="微软雅黑" w:cs="微软雅黑"/>
                <w:color w:val="000000"/>
                <w:sz w:val="21"/>
                <w:szCs w:val="24"/>
              </w:rPr>
              <w:t>服务要求</w:t>
            </w:r>
          </w:p>
        </w:tc>
        <w:tc>
          <w:tcPr>
            <w:tcW w:w="1290"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center"/>
              <w:rPr>
                <w:rFonts w:ascii="微软雅黑" w:hAnsi="微软雅黑" w:cs="微软雅黑"/>
                <w:color w:val="000000"/>
                <w:sz w:val="21"/>
                <w:szCs w:val="24"/>
              </w:rPr>
            </w:pPr>
            <w:r>
              <w:rPr>
                <w:rFonts w:hint="eastAsia" w:ascii="微软雅黑" w:hAnsi="微软雅黑" w:cs="微软雅黑"/>
                <w:color w:val="000000"/>
                <w:sz w:val="21"/>
                <w:szCs w:val="24"/>
              </w:rPr>
              <w:t>计价单位</w:t>
            </w:r>
          </w:p>
        </w:tc>
        <w:tc>
          <w:tcPr>
            <w:tcW w:w="1575"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center"/>
              <w:rPr>
                <w:rFonts w:hint="default" w:ascii="微软雅黑" w:hAnsi="微软雅黑" w:eastAsia="微软雅黑" w:cs="微软雅黑"/>
                <w:color w:val="000000"/>
                <w:sz w:val="21"/>
                <w:szCs w:val="24"/>
                <w:lang w:val="en-US" w:eastAsia="zh-CN"/>
              </w:rPr>
            </w:pPr>
            <w:r>
              <w:rPr>
                <w:rFonts w:hint="eastAsia" w:ascii="微软雅黑" w:hAnsi="微软雅黑" w:cs="微软雅黑"/>
                <w:color w:val="000000"/>
                <w:sz w:val="21"/>
                <w:szCs w:val="24"/>
                <w:lang w:val="en-US" w:eastAsia="zh-CN"/>
              </w:rPr>
              <w:t>数量</w:t>
            </w:r>
          </w:p>
        </w:tc>
        <w:tc>
          <w:tcPr>
            <w:tcW w:w="1590"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center"/>
              <w:rPr>
                <w:rFonts w:hint="eastAsia" w:ascii="微软雅黑" w:hAnsi="微软雅黑" w:eastAsia="微软雅黑" w:cs="微软雅黑"/>
                <w:color w:val="000000"/>
                <w:sz w:val="21"/>
                <w:szCs w:val="24"/>
                <w:lang w:eastAsia="zh-CN"/>
              </w:rPr>
            </w:pPr>
            <w:r>
              <w:rPr>
                <w:rFonts w:hint="eastAsia" w:ascii="微软雅黑" w:hAnsi="微软雅黑" w:cs="微软雅黑"/>
                <w:color w:val="000000"/>
                <w:sz w:val="21"/>
                <w:szCs w:val="24"/>
              </w:rPr>
              <w:t>报价</w:t>
            </w:r>
            <w:r>
              <w:rPr>
                <w:rFonts w:hint="eastAsia" w:ascii="微软雅黑" w:hAnsi="微软雅黑" w:cs="微软雅黑"/>
                <w:color w:val="000000"/>
                <w:sz w:val="21"/>
                <w:szCs w:val="24"/>
                <w:lang w:val="en-US" w:eastAsia="zh-CN"/>
              </w:rPr>
              <w:t>(</w:t>
            </w:r>
            <w:r>
              <w:rPr>
                <w:rFonts w:hint="eastAsia" w:ascii="微软雅黑" w:hAnsi="微软雅黑" w:cs="微软雅黑"/>
                <w:color w:val="000000"/>
                <w:sz w:val="21"/>
                <w:szCs w:val="24"/>
              </w:rPr>
              <w:t>单价</w:t>
            </w:r>
            <w:r>
              <w:rPr>
                <w:rFonts w:hint="eastAsia" w:ascii="微软雅黑" w:hAnsi="微软雅黑" w:cs="微软雅黑"/>
                <w:color w:val="000000"/>
                <w:sz w:val="21"/>
                <w:szCs w:val="24"/>
                <w:lang w:val="en-US" w:eastAsia="zh-CN"/>
              </w:rPr>
              <w:t>)</w:t>
            </w:r>
          </w:p>
        </w:tc>
        <w:tc>
          <w:tcPr>
            <w:tcW w:w="1323"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center"/>
              <w:rPr>
                <w:rFonts w:hint="eastAsia" w:ascii="微软雅黑" w:hAnsi="微软雅黑" w:eastAsia="微软雅黑" w:cs="微软雅黑"/>
                <w:color w:val="000000"/>
                <w:sz w:val="21"/>
                <w:szCs w:val="24"/>
                <w:lang w:val="en-US" w:eastAsia="zh-CN"/>
              </w:rPr>
            </w:pPr>
            <w:r>
              <w:rPr>
                <w:rFonts w:hint="eastAsia" w:ascii="微软雅黑" w:hAnsi="微软雅黑" w:cs="微软雅黑"/>
                <w:color w:val="000000"/>
                <w:sz w:val="21"/>
                <w:szCs w:val="24"/>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both"/>
              <w:rPr>
                <w:rFonts w:hint="default" w:ascii="微软雅黑" w:hAnsi="微软雅黑" w:eastAsia="微软雅黑" w:cs="微软雅黑"/>
                <w:color w:val="000000"/>
                <w:sz w:val="21"/>
                <w:szCs w:val="24"/>
                <w:lang w:val="en-US" w:eastAsia="zh-CN"/>
              </w:rPr>
            </w:pPr>
            <w:r>
              <w:rPr>
                <w:rFonts w:hint="eastAsia" w:ascii="微软雅黑" w:hAnsi="微软雅黑" w:cs="微软雅黑"/>
                <w:color w:val="000000"/>
                <w:sz w:val="21"/>
                <w:szCs w:val="24"/>
                <w:lang w:val="en-US" w:eastAsia="zh-CN"/>
              </w:rPr>
              <w:t>手机户型VR系统</w:t>
            </w:r>
          </w:p>
        </w:tc>
        <w:tc>
          <w:tcPr>
            <w:tcW w:w="2400"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ind w:firstLine="210" w:firstLineChars="100"/>
              <w:jc w:val="both"/>
              <w:rPr>
                <w:rFonts w:hint="default" w:ascii="微软雅黑" w:hAnsi="微软雅黑" w:eastAsia="微软雅黑" w:cs="微软雅黑"/>
                <w:color w:val="000000"/>
                <w:sz w:val="21"/>
                <w:szCs w:val="24"/>
                <w:lang w:val="en-US" w:eastAsia="zh-CN"/>
              </w:rPr>
            </w:pPr>
            <w:r>
              <w:rPr>
                <w:rFonts w:hint="eastAsia" w:ascii="微软雅黑" w:hAnsi="微软雅黑" w:cs="微软雅黑"/>
                <w:color w:val="000000"/>
                <w:sz w:val="21"/>
                <w:szCs w:val="24"/>
                <w:lang w:val="en-US" w:eastAsia="zh-CN"/>
              </w:rPr>
              <w:t>装修风格由甲方确定</w:t>
            </w:r>
          </w:p>
        </w:tc>
        <w:tc>
          <w:tcPr>
            <w:tcW w:w="1290"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center"/>
              <w:rPr>
                <w:rFonts w:hint="default" w:ascii="微软雅黑" w:hAnsi="微软雅黑" w:eastAsia="微软雅黑" w:cs="微软雅黑"/>
                <w:color w:val="000000"/>
                <w:sz w:val="21"/>
                <w:szCs w:val="24"/>
                <w:lang w:val="en-US" w:eastAsia="zh-CN"/>
              </w:rPr>
            </w:pPr>
            <w:r>
              <w:rPr>
                <w:rFonts w:hint="eastAsia" w:ascii="微软雅黑" w:hAnsi="微软雅黑" w:cs="微软雅黑"/>
                <w:color w:val="000000"/>
                <w:sz w:val="21"/>
                <w:szCs w:val="24"/>
                <w:lang w:val="en-US" w:eastAsia="zh-CN"/>
              </w:rPr>
              <w:t>元/㎡</w:t>
            </w:r>
          </w:p>
        </w:tc>
        <w:tc>
          <w:tcPr>
            <w:tcW w:w="1575"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center"/>
              <w:rPr>
                <w:rFonts w:hint="eastAsia" w:ascii="微软雅黑" w:hAnsi="微软雅黑" w:cs="微软雅黑"/>
                <w:color w:val="000000"/>
                <w:sz w:val="21"/>
                <w:szCs w:val="24"/>
                <w:lang w:val="en-US" w:eastAsia="zh-CN"/>
              </w:rPr>
            </w:pPr>
            <w:r>
              <w:rPr>
                <w:rFonts w:hint="eastAsia" w:ascii="微软雅黑" w:hAnsi="微软雅黑" w:cs="微软雅黑"/>
                <w:color w:val="000000"/>
                <w:sz w:val="21"/>
                <w:szCs w:val="24"/>
                <w:lang w:val="en-US" w:eastAsia="zh-CN"/>
              </w:rPr>
              <w:t>约490㎡</w:t>
            </w:r>
          </w:p>
          <w:p>
            <w:pPr>
              <w:widowControl/>
              <w:spacing w:after="0"/>
              <w:jc w:val="center"/>
              <w:rPr>
                <w:rFonts w:hint="default" w:ascii="微软雅黑" w:hAnsi="微软雅黑" w:eastAsia="微软雅黑" w:cs="微软雅黑"/>
                <w:color w:val="000000"/>
                <w:sz w:val="21"/>
                <w:szCs w:val="24"/>
                <w:lang w:val="en-US" w:eastAsia="zh-CN"/>
              </w:rPr>
            </w:pPr>
            <w:r>
              <w:rPr>
                <w:rFonts w:hint="eastAsia" w:ascii="微软雅黑" w:hAnsi="微软雅黑" w:cs="微软雅黑"/>
                <w:color w:val="000000"/>
                <w:sz w:val="21"/>
                <w:szCs w:val="24"/>
                <w:lang w:val="en-US" w:eastAsia="zh-CN"/>
              </w:rPr>
              <w:t>(3套户型)</w:t>
            </w:r>
          </w:p>
        </w:tc>
        <w:tc>
          <w:tcPr>
            <w:tcW w:w="1590"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val="0"/>
              <w:jc w:val="center"/>
              <w:rPr>
                <w:rFonts w:ascii="微软雅黑" w:hAnsi="微软雅黑" w:cs="微软雅黑"/>
                <w:color w:val="000000"/>
                <w:sz w:val="21"/>
                <w:szCs w:val="24"/>
              </w:rPr>
            </w:pPr>
          </w:p>
        </w:tc>
        <w:tc>
          <w:tcPr>
            <w:tcW w:w="1323"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val="0"/>
              <w:jc w:val="center"/>
              <w:rPr>
                <w:rFonts w:ascii="微软雅黑" w:hAnsi="微软雅黑" w:cs="微软雅黑"/>
                <w:color w:val="000000"/>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89"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spacing w:after="0"/>
              <w:jc w:val="center"/>
              <w:rPr>
                <w:rFonts w:hint="eastAsia" w:ascii="微软雅黑" w:hAnsi="微软雅黑" w:cs="微软雅黑"/>
                <w:color w:val="000000"/>
                <w:sz w:val="21"/>
                <w:szCs w:val="24"/>
                <w:lang w:val="en-US" w:eastAsia="zh-CN"/>
              </w:rPr>
            </w:pPr>
            <w:r>
              <w:rPr>
                <w:rFonts w:hint="eastAsia" w:ascii="微软雅黑" w:hAnsi="微软雅黑" w:cs="微软雅黑"/>
                <w:color w:val="000000"/>
                <w:sz w:val="21"/>
                <w:szCs w:val="24"/>
                <w:lang w:val="en-US" w:eastAsia="zh-CN"/>
              </w:rPr>
              <w:t>税率（含税）</w:t>
            </w:r>
          </w:p>
        </w:tc>
        <w:tc>
          <w:tcPr>
            <w:tcW w:w="291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val="0"/>
              <w:jc w:val="center"/>
              <w:rPr>
                <w:rFonts w:ascii="微软雅黑" w:hAnsi="微软雅黑" w:cs="微软雅黑"/>
                <w:color w:val="000000"/>
                <w:sz w:val="21"/>
                <w:szCs w:val="24"/>
              </w:rPr>
            </w:pPr>
          </w:p>
        </w:tc>
      </w:tr>
    </w:tbl>
    <w:p>
      <w:pPr>
        <w:spacing w:after="0"/>
        <w:jc w:val="center"/>
        <w:rPr>
          <w:color w:val="C00000"/>
          <w:sz w:val="20"/>
          <w:szCs w:val="21"/>
        </w:rPr>
      </w:pPr>
    </w:p>
    <w:p>
      <w:pPr>
        <w:spacing w:after="0"/>
        <w:jc w:val="both"/>
        <w:rPr>
          <w:color w:val="C00000"/>
          <w:sz w:val="20"/>
          <w:szCs w:val="21"/>
        </w:rPr>
      </w:pPr>
    </w:p>
    <w:p>
      <w:r>
        <w:br w:type="page"/>
      </w:r>
    </w:p>
    <w:p>
      <w:pPr>
        <w:jc w:val="left"/>
        <w:rPr>
          <w:rFonts w:hint="eastAsia" w:ascii="微软雅黑" w:hAnsi="微软雅黑" w:cs="微软雅黑"/>
          <w:b/>
          <w:bCs/>
          <w:sz w:val="24"/>
          <w:szCs w:val="32"/>
          <w:lang w:val="en-US" w:eastAsia="zh-CN"/>
        </w:rPr>
      </w:pPr>
      <w:r>
        <w:rPr>
          <w:rFonts w:hint="eastAsia" w:ascii="微软雅黑" w:hAnsi="微软雅黑" w:cs="微软雅黑"/>
          <w:b/>
          <w:bCs/>
          <w:sz w:val="24"/>
          <w:szCs w:val="32"/>
          <w:lang w:val="en-US" w:eastAsia="zh-CN"/>
        </w:rPr>
        <w:t>制作内容三：城建·山水闲庭项目VR看房系统PC版报价清单</w:t>
      </w:r>
    </w:p>
    <w:tbl>
      <w:tblPr>
        <w:tblStyle w:val="9"/>
        <w:tblW w:w="10194" w:type="dxa"/>
        <w:jc w:val="center"/>
        <w:shd w:val="clear" w:color="auto" w:fill="auto"/>
        <w:tblLayout w:type="fixed"/>
        <w:tblCellMar>
          <w:top w:w="0" w:type="dxa"/>
          <w:left w:w="0" w:type="dxa"/>
          <w:bottom w:w="0" w:type="dxa"/>
          <w:right w:w="0" w:type="dxa"/>
        </w:tblCellMar>
      </w:tblPr>
      <w:tblGrid>
        <w:gridCol w:w="557"/>
        <w:gridCol w:w="485"/>
        <w:gridCol w:w="3966"/>
        <w:gridCol w:w="2102"/>
        <w:gridCol w:w="945"/>
        <w:gridCol w:w="597"/>
        <w:gridCol w:w="647"/>
        <w:gridCol w:w="895"/>
      </w:tblGrid>
      <w:tr>
        <w:tblPrEx>
          <w:shd w:val="clear" w:color="auto" w:fill="auto"/>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eastAsia" w:ascii="黑体" w:hAnsi="黑体" w:eastAsia="黑体" w:cs="黑体"/>
                <w:color w:val="FFFFFF" w:themeColor="background1"/>
                <w:sz w:val="20"/>
                <w:szCs w:val="20"/>
                <w14:textFill>
                  <w14:solidFill>
                    <w14:schemeClr w14:val="bg1"/>
                  </w14:solidFill>
                </w14:textFill>
              </w:rPr>
            </w:pP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FFFFFF" w:themeColor="background1"/>
                <w:sz w:val="20"/>
                <w:szCs w:val="20"/>
                <w:u w:val="none"/>
                <w14:textFill>
                  <w14:solidFill>
                    <w14:schemeClr w14:val="bg1"/>
                  </w14:solidFill>
                </w14:textFill>
              </w:rPr>
            </w:pP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themeColor="text1"/>
                <w:sz w:val="20"/>
                <w:szCs w:val="20"/>
                <w:u w:val="none"/>
                <w14:textFill>
                  <w14:solidFill>
                    <w14:schemeClr w14:val="tx1"/>
                  </w14:solidFill>
                </w14:textFill>
              </w:rPr>
            </w:pPr>
            <w:r>
              <w:rPr>
                <w:rFonts w:hint="eastAsia" w:ascii="黑体" w:hAnsi="黑体" w:eastAsia="黑体" w:cs="黑体"/>
                <w:i w:val="0"/>
                <w:color w:val="000000" w:themeColor="text1"/>
                <w:kern w:val="0"/>
                <w:sz w:val="20"/>
                <w:szCs w:val="20"/>
                <w:u w:val="none"/>
                <w:lang w:val="en-US" w:eastAsia="zh-CN" w:bidi="ar"/>
                <w14:textFill>
                  <w14:solidFill>
                    <w14:schemeClr w14:val="tx1"/>
                  </w14:solidFill>
                </w14:textFill>
              </w:rPr>
              <w:t>详细介绍</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themeColor="text1"/>
                <w:sz w:val="20"/>
                <w:szCs w:val="20"/>
                <w:u w:val="none"/>
                <w14:textFill>
                  <w14:solidFill>
                    <w14:schemeClr w14:val="tx1"/>
                  </w14:solidFill>
                </w14:textFill>
              </w:rPr>
            </w:pPr>
            <w:r>
              <w:rPr>
                <w:rFonts w:hint="eastAsia" w:ascii="黑体" w:hAnsi="黑体" w:eastAsia="黑体" w:cs="黑体"/>
                <w:i w:val="0"/>
                <w:color w:val="000000" w:themeColor="text1"/>
                <w:kern w:val="0"/>
                <w:sz w:val="20"/>
                <w:szCs w:val="20"/>
                <w:u w:val="none"/>
                <w:lang w:val="en-US" w:eastAsia="zh-CN" w:bidi="ar"/>
                <w14:textFill>
                  <w14:solidFill>
                    <w14:schemeClr w14:val="tx1"/>
                  </w14:solidFill>
                </w14:textFill>
              </w:rPr>
              <w:t>示意图</w:t>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themeColor="text1"/>
                <w:sz w:val="20"/>
                <w:szCs w:val="20"/>
                <w:u w:val="none"/>
                <w14:textFill>
                  <w14:solidFill>
                    <w14:schemeClr w14:val="tx1"/>
                  </w14:solidFill>
                </w14:textFill>
              </w:rPr>
            </w:pPr>
            <w:r>
              <w:rPr>
                <w:rFonts w:hint="eastAsia" w:ascii="黑体" w:hAnsi="黑体" w:eastAsia="黑体" w:cs="黑体"/>
                <w:i w:val="0"/>
                <w:color w:val="000000" w:themeColor="text1"/>
                <w:kern w:val="0"/>
                <w:sz w:val="20"/>
                <w:szCs w:val="20"/>
                <w:u w:val="none"/>
                <w:lang w:val="en-US" w:eastAsia="zh-CN" w:bidi="ar"/>
                <w14:textFill>
                  <w14:solidFill>
                    <w14:schemeClr w14:val="tx1"/>
                  </w14:solidFill>
                </w14:textFill>
              </w:rPr>
              <w:t>单价</w:t>
            </w: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themeColor="text1"/>
                <w:sz w:val="20"/>
                <w:szCs w:val="20"/>
                <w:u w:val="none"/>
                <w14:textFill>
                  <w14:solidFill>
                    <w14:schemeClr w14:val="tx1"/>
                  </w14:solidFill>
                </w14:textFill>
              </w:rPr>
            </w:pPr>
            <w:r>
              <w:rPr>
                <w:rFonts w:hint="eastAsia" w:ascii="黑体" w:hAnsi="黑体" w:eastAsia="黑体" w:cs="黑体"/>
                <w:i w:val="0"/>
                <w:color w:val="000000" w:themeColor="text1"/>
                <w:kern w:val="0"/>
                <w:sz w:val="20"/>
                <w:szCs w:val="20"/>
                <w:u w:val="none"/>
                <w:lang w:val="en-US" w:eastAsia="zh-CN" w:bidi="ar"/>
                <w14:textFill>
                  <w14:solidFill>
                    <w14:schemeClr w14:val="tx1"/>
                  </w14:solidFill>
                </w14:textFill>
              </w:rPr>
              <w:t>数量</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themeColor="text1"/>
                <w:sz w:val="20"/>
                <w:szCs w:val="20"/>
                <w:u w:val="none"/>
                <w14:textFill>
                  <w14:solidFill>
                    <w14:schemeClr w14:val="tx1"/>
                  </w14:solidFill>
                </w14:textFill>
              </w:rPr>
            </w:pPr>
            <w:r>
              <w:rPr>
                <w:rFonts w:hint="eastAsia" w:ascii="黑体" w:hAnsi="黑体" w:eastAsia="黑体" w:cs="黑体"/>
                <w:i w:val="0"/>
                <w:color w:val="000000" w:themeColor="text1"/>
                <w:kern w:val="0"/>
                <w:sz w:val="20"/>
                <w:szCs w:val="20"/>
                <w:u w:val="none"/>
                <w:lang w:val="en-US" w:eastAsia="zh-CN" w:bidi="ar"/>
                <w14:textFill>
                  <w14:solidFill>
                    <w14:schemeClr w14:val="tx1"/>
                  </w14:solidFill>
                </w14:textFill>
              </w:rPr>
              <w:t>单位</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themeColor="text1"/>
                <w:sz w:val="20"/>
                <w:szCs w:val="20"/>
                <w:u w:val="none"/>
                <w14:textFill>
                  <w14:solidFill>
                    <w14:schemeClr w14:val="tx1"/>
                  </w14:solidFill>
                </w14:textFill>
              </w:rPr>
            </w:pPr>
            <w:r>
              <w:rPr>
                <w:rFonts w:hint="eastAsia" w:ascii="黑体" w:hAnsi="黑体" w:eastAsia="黑体" w:cs="黑体"/>
                <w:i w:val="0"/>
                <w:color w:val="000000" w:themeColor="text1"/>
                <w:kern w:val="0"/>
                <w:sz w:val="20"/>
                <w:szCs w:val="20"/>
                <w:u w:val="none"/>
                <w:lang w:val="en-US" w:eastAsia="zh-CN" w:bidi="ar"/>
                <w14:textFill>
                  <w14:solidFill>
                    <w14:schemeClr w14:val="tx1"/>
                  </w14:solidFill>
                </w14:textFill>
              </w:rPr>
              <w:t>小计</w:t>
            </w:r>
          </w:p>
        </w:tc>
      </w:tr>
      <w:tr>
        <w:tblPrEx>
          <w:shd w:val="clear" w:color="auto" w:fill="auto"/>
          <w:tblCellMar>
            <w:top w:w="0" w:type="dxa"/>
            <w:left w:w="0" w:type="dxa"/>
            <w:bottom w:w="0" w:type="dxa"/>
            <w:right w:w="0" w:type="dxa"/>
          </w:tblCellMar>
        </w:tblPrEx>
        <w:trPr>
          <w:trHeight w:val="1117"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sz w:val="20"/>
                <w:szCs w:val="20"/>
                <w:u w:val="none"/>
                <w:lang w:val="en-US" w:eastAsia="zh-CN"/>
              </w:rPr>
            </w:pPr>
            <w:r>
              <w:rPr>
                <w:rFonts w:hint="eastAsia" w:ascii="黑体" w:hAnsi="黑体" w:eastAsia="黑体" w:cs="黑体"/>
                <w:i w:val="0"/>
                <w:color w:val="000000"/>
                <w:sz w:val="20"/>
                <w:szCs w:val="20"/>
                <w:u w:val="none"/>
                <w:lang w:val="en-US" w:eastAsia="zh-CN"/>
              </w:rPr>
              <w:t>1</w:t>
            </w: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sz w:val="20"/>
                <w:szCs w:val="20"/>
                <w:u w:val="none"/>
              </w:rPr>
            </w:pPr>
            <w:r>
              <w:rPr>
                <w:rFonts w:hint="eastAsia" w:ascii="黑体" w:hAnsi="黑体" w:eastAsia="黑体" w:cs="黑体"/>
                <w:i w:val="0"/>
                <w:color w:val="000000"/>
                <w:kern w:val="0"/>
                <w:sz w:val="20"/>
                <w:szCs w:val="20"/>
                <w:u w:val="none"/>
                <w:lang w:val="en-US" w:eastAsia="zh-CN" w:bidi="ar"/>
              </w:rPr>
              <w:t>程序开发</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top"/>
              <w:rPr>
                <w:rFonts w:hint="eastAsia" w:ascii="黑体" w:hAnsi="黑体" w:eastAsia="黑体" w:cs="黑体"/>
                <w:i w:val="0"/>
                <w:color w:val="000000"/>
                <w:sz w:val="20"/>
                <w:szCs w:val="20"/>
                <w:u w:val="none"/>
              </w:rPr>
            </w:pPr>
            <w:r>
              <w:rPr>
                <w:rFonts w:hint="eastAsia" w:ascii="黑体" w:hAnsi="黑体" w:eastAsia="黑体" w:cs="黑体"/>
                <w:i w:val="0"/>
                <w:color w:val="000000"/>
                <w:kern w:val="0"/>
                <w:sz w:val="20"/>
                <w:szCs w:val="20"/>
                <w:u w:val="none"/>
                <w:lang w:val="en-US" w:eastAsia="zh-CN" w:bidi="ar"/>
              </w:rPr>
              <w:t>程序平台搭建，实现程序的交互性及操控性，互动操作流畅性，并且根据项目现有VI制定UI界面及整体框架设计，并制定交互方式</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jc w:val="distribute"/>
              <w:rPr>
                <w:rFonts w:hint="eastAsia" w:ascii="黑体" w:hAnsi="黑体" w:eastAsia="黑体" w:cs="黑体"/>
                <w:sz w:val="20"/>
                <w:szCs w:val="20"/>
              </w:rPr>
            </w:pPr>
            <w:r>
              <w:rPr>
                <w:rFonts w:hint="eastAsia" w:ascii="黑体" w:hAnsi="黑体" w:eastAsia="黑体" w:cs="黑体"/>
                <w:sz w:val="20"/>
                <w:szCs w:val="20"/>
              </w:rPr>
              <w:drawing>
                <wp:inline distT="0" distB="0" distL="114300" distR="114300">
                  <wp:extent cx="1166495" cy="655955"/>
                  <wp:effectExtent l="0" t="0" r="14605" b="1079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6"/>
                          <a:stretch>
                            <a:fillRect/>
                          </a:stretch>
                        </pic:blipFill>
                        <pic:spPr>
                          <a:xfrm>
                            <a:off x="0" y="0"/>
                            <a:ext cx="1166495" cy="65595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default"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sz w:val="20"/>
                <w:szCs w:val="20"/>
                <w:u w:val="none"/>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sz w:val="20"/>
                <w:szCs w:val="20"/>
                <w:u w:val="none"/>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2</w:t>
            </w: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2"/>
                <w:sz w:val="20"/>
                <w:szCs w:val="20"/>
                <w:u w:val="none"/>
                <w:lang w:val="en-US" w:eastAsia="zh-CN" w:bidi="ar-SA"/>
              </w:rPr>
            </w:pPr>
            <w:r>
              <w:rPr>
                <w:rFonts w:hint="eastAsia" w:ascii="黑体" w:hAnsi="黑体" w:eastAsia="黑体" w:cs="黑体"/>
                <w:b w:val="0"/>
                <w:bCs w:val="0"/>
                <w:i w:val="0"/>
                <w:iCs w:val="0"/>
                <w:color w:val="000000"/>
                <w:kern w:val="0"/>
                <w:sz w:val="20"/>
                <w:szCs w:val="20"/>
                <w:u w:val="none"/>
                <w:lang w:val="en-US" w:eastAsia="zh-CN" w:bidi="ar"/>
              </w:rPr>
              <w:t>开篇</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kern w:val="2"/>
                <w:sz w:val="20"/>
                <w:szCs w:val="20"/>
                <w:u w:val="none"/>
                <w:lang w:val="en-US" w:eastAsia="zh-CN" w:bidi="ar-SA"/>
              </w:rPr>
            </w:pPr>
            <w:r>
              <w:rPr>
                <w:rFonts w:hint="eastAsia" w:ascii="黑体" w:hAnsi="黑体" w:eastAsia="黑体" w:cs="黑体"/>
                <w:b w:val="0"/>
                <w:bCs w:val="0"/>
                <w:i w:val="0"/>
                <w:iCs w:val="0"/>
                <w:color w:val="000000"/>
                <w:kern w:val="0"/>
                <w:sz w:val="20"/>
                <w:szCs w:val="20"/>
                <w:u w:val="none"/>
                <w:lang w:val="en-US" w:eastAsia="zh-CN" w:bidi="ar"/>
              </w:rPr>
              <w:t>动态展示logo演绎，约5秒钟，阐述项目气质</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distribute"/>
              <w:textAlignment w:val="center"/>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sz w:val="20"/>
                <w:szCs w:val="20"/>
              </w:rPr>
              <w:drawing>
                <wp:inline distT="0" distB="0" distL="114300" distR="114300">
                  <wp:extent cx="1166495" cy="727710"/>
                  <wp:effectExtent l="0" t="0" r="14605" b="15240"/>
                  <wp:docPr id="10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3"/>
                          <pic:cNvPicPr>
                            <a:picLocks noChangeAspect="1"/>
                          </pic:cNvPicPr>
                        </pic:nvPicPr>
                        <pic:blipFill>
                          <a:blip r:embed="rId7"/>
                          <a:stretch>
                            <a:fillRect/>
                          </a:stretch>
                        </pic:blipFill>
                        <pic:spPr>
                          <a:xfrm>
                            <a:off x="0" y="0"/>
                            <a:ext cx="1166495" cy="727710"/>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default"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sz w:val="20"/>
                <w:szCs w:val="20"/>
                <w:u w:val="none"/>
                <w:lang w:val="en-US" w:eastAsia="zh-CN"/>
              </w:rPr>
            </w:pPr>
            <w:r>
              <w:rPr>
                <w:rFonts w:hint="eastAsia" w:ascii="黑体" w:hAnsi="黑体" w:eastAsia="黑体" w:cs="黑体"/>
                <w:i w:val="0"/>
                <w:color w:val="000000"/>
                <w:sz w:val="20"/>
                <w:szCs w:val="20"/>
                <w:u w:val="none"/>
                <w:lang w:val="en-US" w:eastAsia="zh-CN"/>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kern w:val="2"/>
                <w:sz w:val="20"/>
                <w:szCs w:val="20"/>
                <w:vertAlign w:val="baseline"/>
                <w:lang w:val="en-US" w:eastAsia="zh-CN"/>
              </w:rPr>
            </w:pPr>
            <w:r>
              <w:rPr>
                <w:rFonts w:hint="eastAsia" w:ascii="黑体" w:hAnsi="黑体" w:eastAsia="黑体" w:cs="黑体"/>
                <w:b w:val="0"/>
                <w:bCs w:val="0"/>
                <w:sz w:val="20"/>
                <w:szCs w:val="20"/>
                <w:vertAlign w:val="baseline"/>
                <w:lang w:val="en-US" w:eastAsia="zh-CN"/>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kern w:val="2"/>
                <w:sz w:val="20"/>
                <w:szCs w:val="20"/>
                <w:vertAlign w:val="baseline"/>
                <w:lang w:val="en-US" w:eastAsia="zh-CN"/>
              </w:rPr>
            </w:pPr>
          </w:p>
        </w:tc>
      </w:tr>
      <w:tr>
        <w:tblPrEx>
          <w:shd w:val="clear" w:color="auto" w:fill="auto"/>
          <w:tblCellMar>
            <w:top w:w="0" w:type="dxa"/>
            <w:left w:w="0" w:type="dxa"/>
            <w:bottom w:w="0" w:type="dxa"/>
            <w:right w:w="0" w:type="dxa"/>
          </w:tblCellMar>
        </w:tblPrEx>
        <w:trPr>
          <w:trHeight w:val="1287"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3</w:t>
            </w: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kern w:val="2"/>
                <w:sz w:val="20"/>
                <w:szCs w:val="20"/>
                <w:vertAlign w:val="baseline"/>
                <w:lang w:val="en-US" w:eastAsia="zh-CN"/>
              </w:rPr>
            </w:pPr>
            <w:r>
              <w:rPr>
                <w:rFonts w:hint="eastAsia" w:ascii="黑体" w:hAnsi="黑体" w:eastAsia="黑体" w:cs="黑体"/>
                <w:b w:val="0"/>
                <w:bCs w:val="0"/>
                <w:sz w:val="20"/>
                <w:szCs w:val="20"/>
                <w:vertAlign w:val="baseline"/>
                <w:lang w:val="en-US" w:eastAsia="zh-CN"/>
              </w:rPr>
              <w:t>品牌价值</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b w:val="0"/>
                <w:bCs w:val="0"/>
                <w:sz w:val="20"/>
                <w:szCs w:val="20"/>
                <w:vertAlign w:val="baseline"/>
                <w:lang w:val="en-US" w:eastAsia="zh-CN"/>
              </w:rPr>
            </w:pPr>
            <w:r>
              <w:rPr>
                <w:rFonts w:hint="eastAsia" w:ascii="黑体" w:hAnsi="黑体" w:eastAsia="黑体" w:cs="黑体"/>
                <w:b w:val="0"/>
                <w:bCs w:val="0"/>
                <w:sz w:val="20"/>
                <w:szCs w:val="20"/>
                <w:vertAlign w:val="baseline"/>
                <w:lang w:val="en-US" w:eastAsia="zh-CN"/>
              </w:rPr>
              <w:t>品牌发展历程、产品价值等</w:t>
            </w:r>
          </w:p>
          <w:p>
            <w:pPr>
              <w:pStyle w:val="2"/>
              <w:jc w:val="both"/>
              <w:rPr>
                <w:rFonts w:hint="eastAsia" w:ascii="黑体" w:hAnsi="黑体" w:eastAsia="黑体" w:cs="黑体"/>
                <w:b w:val="0"/>
                <w:bCs w:val="0"/>
                <w:kern w:val="2"/>
                <w:sz w:val="20"/>
                <w:szCs w:val="20"/>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基于项目VI及效果图、楼书设计制作电子楼书以及项目品牌介绍，配套资源简介、集团公司简介</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sz w:val="20"/>
                <w:szCs w:val="20"/>
              </w:rPr>
              <w:drawing>
                <wp:inline distT="0" distB="0" distL="114300" distR="114300">
                  <wp:extent cx="1166495" cy="640715"/>
                  <wp:effectExtent l="0" t="0" r="14605" b="6985"/>
                  <wp:docPr id="1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2"/>
                          <pic:cNvPicPr>
                            <a:picLocks noChangeAspect="1"/>
                          </pic:cNvPicPr>
                        </pic:nvPicPr>
                        <pic:blipFill>
                          <a:blip r:embed="rId8"/>
                          <a:stretch>
                            <a:fillRect/>
                          </a:stretch>
                        </pic:blipFill>
                        <pic:spPr>
                          <a:xfrm>
                            <a:off x="0" y="0"/>
                            <a:ext cx="1166495" cy="64071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default"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sz w:val="20"/>
                <w:szCs w:val="20"/>
                <w:u w:val="none"/>
                <w:lang w:val="en-US" w:eastAsia="zh-CN"/>
              </w:rPr>
            </w:pPr>
            <w:r>
              <w:rPr>
                <w:rFonts w:hint="eastAsia" w:ascii="黑体" w:hAnsi="黑体" w:eastAsia="黑体" w:cs="黑体"/>
                <w:i w:val="0"/>
                <w:color w:val="000000"/>
                <w:sz w:val="20"/>
                <w:szCs w:val="20"/>
                <w:u w:val="none"/>
                <w:lang w:val="en-US" w:eastAsia="zh-CN"/>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kern w:val="2"/>
                <w:sz w:val="20"/>
                <w:szCs w:val="20"/>
                <w:vertAlign w:val="baseline"/>
                <w:lang w:val="en-US" w:eastAsia="zh-CN"/>
              </w:rPr>
            </w:pPr>
            <w:r>
              <w:rPr>
                <w:rFonts w:hint="eastAsia" w:ascii="黑体" w:hAnsi="黑体" w:eastAsia="黑体" w:cs="黑体"/>
                <w:b w:val="0"/>
                <w:bCs w:val="0"/>
                <w:sz w:val="20"/>
                <w:szCs w:val="20"/>
                <w:vertAlign w:val="baseline"/>
                <w:lang w:val="en-US" w:eastAsia="zh-CN"/>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default" w:ascii="黑体" w:hAnsi="黑体" w:eastAsia="黑体" w:cs="黑体"/>
                <w:b w:val="0"/>
                <w:bCs w:val="0"/>
                <w:kern w:val="2"/>
                <w:sz w:val="20"/>
                <w:szCs w:val="20"/>
                <w:vertAlign w:val="baseli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4</w:t>
            </w:r>
          </w:p>
        </w:tc>
        <w:tc>
          <w:tcPr>
            <w:tcW w:w="485" w:type="dxa"/>
            <w:vMerge w:val="restart"/>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kern w:val="2"/>
                <w:sz w:val="20"/>
                <w:szCs w:val="20"/>
                <w:vertAlign w:val="baseline"/>
                <w:lang w:val="en-US" w:eastAsia="zh-CN"/>
              </w:rPr>
            </w:pPr>
            <w:r>
              <w:rPr>
                <w:rFonts w:hint="eastAsia" w:ascii="黑体" w:hAnsi="黑体" w:eastAsia="黑体" w:cs="黑体"/>
                <w:b w:val="0"/>
                <w:bCs w:val="0"/>
                <w:sz w:val="20"/>
                <w:szCs w:val="20"/>
                <w:vertAlign w:val="baseline"/>
                <w:lang w:val="en-US" w:eastAsia="zh-CN"/>
              </w:rPr>
              <w:t>动态区位图</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both"/>
              <w:textAlignment w:val="top"/>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客户提供的平面区位做动态效果</w:t>
            </w:r>
          </w:p>
          <w:p>
            <w:pPr>
              <w:keepNext w:val="0"/>
              <w:keepLines w:val="0"/>
              <w:widowControl/>
              <w:suppressLineNumbers w:val="0"/>
              <w:ind w:left="0" w:leftChars="0" w:right="0" w:rightChars="0"/>
              <w:jc w:val="both"/>
              <w:textAlignment w:val="top"/>
              <w:rPr>
                <w:rFonts w:hint="eastAsia" w:ascii="黑体" w:hAnsi="黑体" w:eastAsia="黑体" w:cs="黑体"/>
                <w:b w:val="0"/>
                <w:bCs w:val="0"/>
                <w:kern w:val="2"/>
                <w:sz w:val="20"/>
                <w:szCs w:val="20"/>
                <w:vertAlign w:val="baseline"/>
                <w:lang w:val="en-US" w:eastAsia="zh-CN"/>
              </w:rPr>
            </w:pPr>
            <w:r>
              <w:rPr>
                <w:rFonts w:hint="eastAsia" w:ascii="黑体" w:hAnsi="黑体" w:eastAsia="黑体" w:cs="黑体"/>
                <w:i w:val="0"/>
                <w:color w:val="000000"/>
                <w:kern w:val="0"/>
                <w:sz w:val="20"/>
                <w:szCs w:val="20"/>
                <w:u w:val="none"/>
                <w:lang w:val="en-US" w:eastAsia="zh-CN" w:bidi="ar"/>
              </w:rPr>
              <w:t>根据客户提供的平面底图，加入动态效果,针对交通、路网、配套进行交互动态演绎。</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ind w:left="0" w:leftChars="0" w:right="0" w:rightChars="0"/>
              <w:jc w:val="center"/>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color w:val="auto"/>
              </w:rPr>
              <w:drawing>
                <wp:inline distT="0" distB="0" distL="114300" distR="114300">
                  <wp:extent cx="1166495" cy="657225"/>
                  <wp:effectExtent l="0" t="0" r="1460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1166495" cy="65722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ind w:left="0" w:leftChars="0" w:right="0" w:rightChars="0"/>
              <w:jc w:val="center"/>
              <w:rPr>
                <w:rFonts w:hint="eastAsia" w:ascii="黑体" w:hAnsi="黑体" w:eastAsia="黑体" w:cs="黑体"/>
                <w:i w:val="0"/>
                <w:color w:val="000000"/>
                <w:kern w:val="2"/>
                <w:sz w:val="20"/>
                <w:szCs w:val="20"/>
                <w:u w:val="none"/>
                <w:lang w:val="en-US" w:eastAsia="zh-CN" w:bidi="ar-SA"/>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b w:val="0"/>
                <w:bCs w:val="0"/>
                <w:kern w:val="2"/>
                <w:sz w:val="20"/>
                <w:szCs w:val="20"/>
                <w:vertAlign w:val="baseline"/>
                <w:lang w:val="en-US" w:eastAsia="zh-CN"/>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b w:val="0"/>
                <w:bCs w:val="0"/>
                <w:kern w:val="2"/>
                <w:sz w:val="20"/>
                <w:szCs w:val="20"/>
                <w:vertAlign w:val="baseline"/>
                <w:lang w:val="en-US" w:eastAsia="zh-CN"/>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kern w:val="2"/>
                <w:sz w:val="20"/>
                <w:szCs w:val="20"/>
                <w:vertAlign w:val="baseli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both"/>
              <w:textAlignment w:val="center"/>
              <w:rPr>
                <w:rFonts w:hint="eastAsia" w:ascii="黑体" w:hAnsi="黑体" w:eastAsia="黑体" w:cs="黑体"/>
                <w:i w:val="0"/>
                <w:color w:val="000000"/>
                <w:kern w:val="0"/>
                <w:sz w:val="20"/>
                <w:szCs w:val="20"/>
                <w:u w:val="none"/>
                <w:lang w:val="en-US" w:eastAsia="zh-CN" w:bidi="ar"/>
              </w:rPr>
            </w:pPr>
          </w:p>
        </w:tc>
        <w:tc>
          <w:tcPr>
            <w:tcW w:w="485"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sz w:val="20"/>
                <w:szCs w:val="20"/>
                <w:vertAlign w:val="baseline"/>
                <w:lang w:val="en-US" w:eastAsia="zh-CN"/>
              </w:rPr>
            </w:pP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b w:val="0"/>
                <w:bCs w:val="0"/>
                <w:sz w:val="20"/>
                <w:szCs w:val="20"/>
                <w:vertAlign w:val="baseline"/>
                <w:lang w:val="en-US" w:eastAsia="zh-CN"/>
              </w:rPr>
            </w:pPr>
            <w:r>
              <w:rPr>
                <w:rFonts w:hint="eastAsia" w:ascii="黑体" w:hAnsi="黑体" w:eastAsia="黑体" w:cs="黑体"/>
                <w:b w:val="0"/>
                <w:bCs w:val="0"/>
                <w:sz w:val="20"/>
                <w:szCs w:val="20"/>
                <w:vertAlign w:val="baseline"/>
                <w:lang w:val="en-US" w:eastAsia="zh-CN"/>
              </w:rPr>
              <w:t>展示项目周边配套，包含以下价值点的梳理：交通-商业-教育-医疗-公园-文化等。</w:t>
            </w:r>
          </w:p>
          <w:p>
            <w:pPr>
              <w:pStyle w:val="2"/>
              <w:jc w:val="both"/>
              <w:rPr>
                <w:rFonts w:hint="eastAsia" w:ascii="黑体" w:hAnsi="黑体" w:eastAsia="黑体" w:cs="黑体"/>
                <w:b w:val="0"/>
                <w:bCs w:val="0"/>
                <w:kern w:val="2"/>
                <w:sz w:val="20"/>
                <w:szCs w:val="20"/>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【制作方式：三维素模区位】</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pPr>
            <w:r>
              <w:rPr>
                <w:rFonts w:hint="eastAsia" w:ascii="黑体" w:hAnsi="黑体" w:eastAsia="黑体" w:cs="黑体"/>
                <w:sz w:val="20"/>
                <w:szCs w:val="20"/>
              </w:rPr>
              <w:drawing>
                <wp:inline distT="0" distB="0" distL="114300" distR="114300">
                  <wp:extent cx="1166495" cy="660400"/>
                  <wp:effectExtent l="0" t="0" r="14605" b="635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0"/>
                          <a:srcRect b="11391"/>
                          <a:stretch>
                            <a:fillRect/>
                          </a:stretch>
                        </pic:blipFill>
                        <pic:spPr>
                          <a:xfrm>
                            <a:off x="0" y="0"/>
                            <a:ext cx="1166495" cy="660400"/>
                          </a:xfrm>
                          <a:prstGeom prst="rect">
                            <a:avLst/>
                          </a:prstGeom>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i w:val="0"/>
                <w:color w:val="000000"/>
                <w:kern w:val="2"/>
                <w:sz w:val="20"/>
                <w:szCs w:val="20"/>
                <w:u w:val="none"/>
                <w:lang w:val="en-US" w:eastAsia="zh-CN" w:bidi="ar-SA"/>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sz w:val="20"/>
                <w:szCs w:val="20"/>
                <w:vertAlign w:val="baseline"/>
                <w:lang w:val="en-US" w:eastAsia="zh-CN"/>
              </w:rPr>
            </w:pPr>
            <w:r>
              <w:rPr>
                <w:rFonts w:hint="eastAsia" w:ascii="黑体" w:hAnsi="黑体" w:eastAsia="黑体" w:cs="黑体"/>
                <w:b w:val="0"/>
                <w:bCs w:val="0"/>
                <w:sz w:val="20"/>
                <w:szCs w:val="20"/>
                <w:vertAlign w:val="baseline"/>
                <w:lang w:val="en-US" w:eastAsia="zh-CN"/>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sz w:val="20"/>
                <w:szCs w:val="20"/>
                <w:vertAlign w:val="baseline"/>
                <w:lang w:val="en-US" w:eastAsia="zh-CN"/>
              </w:rPr>
            </w:pPr>
            <w:r>
              <w:rPr>
                <w:rFonts w:hint="eastAsia" w:ascii="黑体" w:hAnsi="黑体" w:eastAsia="黑体" w:cs="黑体"/>
                <w:b w:val="0"/>
                <w:bCs w:val="0"/>
                <w:sz w:val="20"/>
                <w:szCs w:val="20"/>
                <w:vertAlign w:val="baseline"/>
                <w:lang w:val="en-US" w:eastAsia="zh-CN"/>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kern w:val="2"/>
                <w:sz w:val="20"/>
                <w:szCs w:val="20"/>
                <w:vertAlign w:val="baseli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5</w:t>
            </w:r>
          </w:p>
        </w:tc>
        <w:tc>
          <w:tcPr>
            <w:tcW w:w="485" w:type="dxa"/>
            <w:vMerge w:val="restart"/>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VR区位</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VR城市区位（城市格局分析）</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1项目区位展示10平方公里范围内，交通、社区、生活等配套、环境生态、人流量数据、教育、医疗配套，产业商圈等要素，并可根据项目营销卖点进行数据分析</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2、根据地图对城市空间战略、立体交通、区域概况、商业格局等，展示区域之于城市、项目之于区域关系位置分析。</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3、针对项目的任意角度鸟瞰，任意距离的推进拉远。【制作方式：UE4版本VR大区位】</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rPr>
                <w:rFonts w:hint="eastAsia" w:ascii="黑体" w:hAnsi="黑体" w:eastAsia="黑体" w:cs="黑体"/>
                <w:color w:val="auto"/>
              </w:rPr>
            </w:pPr>
          </w:p>
          <w:p>
            <w:pPr>
              <w:bidi w:val="0"/>
              <w:jc w:val="center"/>
              <w:rPr>
                <w:rFonts w:hint="eastAsia" w:ascii="黑体" w:hAnsi="黑体" w:eastAsia="黑体" w:cs="黑体"/>
                <w:sz w:val="20"/>
                <w:szCs w:val="20"/>
              </w:rPr>
            </w:pPr>
            <w:r>
              <w:rPr>
                <w:rFonts w:hint="eastAsia" w:ascii="黑体" w:hAnsi="黑体" w:eastAsia="黑体" w:cs="黑体"/>
                <w:color w:val="auto"/>
              </w:rPr>
              <w:drawing>
                <wp:inline distT="0" distB="0" distL="114300" distR="114300">
                  <wp:extent cx="1166495" cy="695325"/>
                  <wp:effectExtent l="0" t="0" r="14605" b="9525"/>
                  <wp:docPr id="4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1"/>
                          <pic:cNvPicPr>
                            <a:picLocks noChangeAspect="1"/>
                          </pic:cNvPicPr>
                        </pic:nvPicPr>
                        <pic:blipFill>
                          <a:blip r:embed="rId11"/>
                          <a:srcRect b="17073"/>
                          <a:stretch>
                            <a:fillRect/>
                          </a:stretch>
                        </pic:blipFill>
                        <pic:spPr>
                          <a:xfrm>
                            <a:off x="0" y="0"/>
                            <a:ext cx="1166495" cy="69532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default"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eastAsia" w:ascii="黑体" w:hAnsi="黑体" w:eastAsia="黑体" w:cs="黑体"/>
                <w:i w:val="0"/>
                <w:color w:val="000000"/>
                <w:kern w:val="0"/>
                <w:sz w:val="20"/>
                <w:szCs w:val="20"/>
                <w:u w:val="none"/>
                <w:lang w:val="en-US" w:eastAsia="zh-CN" w:bidi="ar"/>
              </w:rPr>
            </w:pPr>
          </w:p>
        </w:tc>
        <w:tc>
          <w:tcPr>
            <w:tcW w:w="485"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top"/>
              <w:rPr>
                <w:rFonts w:hint="eastAsia" w:ascii="黑体" w:hAnsi="黑体" w:eastAsia="黑体" w:cs="黑体"/>
                <w:sz w:val="20"/>
                <w:szCs w:val="20"/>
                <w:lang w:val="en-US" w:eastAsia="zh-CN"/>
              </w:rPr>
            </w:pPr>
            <w:r>
              <w:rPr>
                <w:rFonts w:hint="eastAsia" w:ascii="黑体" w:hAnsi="黑体" w:eastAsia="黑体" w:cs="黑体"/>
                <w:sz w:val="20"/>
                <w:szCs w:val="20"/>
                <w:lang w:val="en-US" w:eastAsia="zh-CN"/>
              </w:rPr>
              <w:t>VR周边区位（3-5公里）</w:t>
            </w:r>
          </w:p>
          <w:p>
            <w:pPr>
              <w:keepNext w:val="0"/>
              <w:keepLines w:val="0"/>
              <w:widowControl/>
              <w:suppressLineNumbers w:val="0"/>
              <w:jc w:val="both"/>
              <w:textAlignment w:val="top"/>
              <w:rPr>
                <w:rFonts w:hint="eastAsia" w:ascii="黑体" w:hAnsi="黑体" w:eastAsia="黑体" w:cs="黑体"/>
                <w:sz w:val="20"/>
                <w:szCs w:val="20"/>
                <w:lang w:val="en-US" w:eastAsia="zh-CN"/>
              </w:rPr>
            </w:pPr>
            <w:r>
              <w:rPr>
                <w:rFonts w:hint="eastAsia" w:ascii="黑体" w:hAnsi="黑体" w:eastAsia="黑体" w:cs="黑体"/>
                <w:sz w:val="20"/>
                <w:szCs w:val="20"/>
                <w:lang w:val="en-US" w:eastAsia="zh-CN"/>
              </w:rPr>
              <w:t>1项目区位展示，包含区域的现在和未来呈现，未来城市规划包括但不限于立体交通（高铁、轻轨、 停车场）、配套、公园生态、学区、医院等要素</w:t>
            </w:r>
          </w:p>
          <w:p>
            <w:pPr>
              <w:keepNext w:val="0"/>
              <w:keepLines w:val="0"/>
              <w:widowControl/>
              <w:suppressLineNumbers w:val="0"/>
              <w:jc w:val="both"/>
              <w:textAlignment w:val="top"/>
              <w:rPr>
                <w:rFonts w:hint="eastAsia" w:ascii="黑体" w:hAnsi="黑体" w:eastAsia="黑体" w:cs="黑体"/>
                <w:sz w:val="20"/>
                <w:szCs w:val="20"/>
                <w:lang w:val="en-US" w:eastAsia="zh-CN"/>
              </w:rPr>
            </w:pPr>
            <w:r>
              <w:rPr>
                <w:rFonts w:hint="eastAsia" w:ascii="黑体" w:hAnsi="黑体" w:eastAsia="黑体" w:cs="黑体"/>
                <w:sz w:val="20"/>
                <w:szCs w:val="20"/>
                <w:lang w:val="en-US" w:eastAsia="zh-CN"/>
              </w:rPr>
              <w:t>2任意角度鸟瞰，任意距离的推进拉远</w:t>
            </w:r>
          </w:p>
          <w:p>
            <w:pPr>
              <w:pStyle w:val="2"/>
              <w:jc w:val="both"/>
              <w:rPr>
                <w:rFonts w:hint="eastAsia" w:ascii="黑体" w:hAnsi="黑体" w:eastAsia="黑体" w:cs="黑体"/>
                <w:sz w:val="20"/>
                <w:szCs w:val="20"/>
                <w:lang w:val="en-US" w:eastAsia="zh-CN"/>
              </w:rPr>
            </w:pPr>
            <w:r>
              <w:rPr>
                <w:rFonts w:hint="eastAsia" w:ascii="黑体" w:hAnsi="黑体" w:eastAsia="黑体" w:cs="黑体"/>
                <w:i w:val="0"/>
                <w:color w:val="000000"/>
                <w:kern w:val="0"/>
                <w:sz w:val="20"/>
                <w:szCs w:val="20"/>
                <w:u w:val="none"/>
                <w:lang w:val="en-US" w:eastAsia="zh-CN" w:bidi="ar"/>
              </w:rPr>
              <w:t>【制作方式：UE4版本VR大区位】</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jc w:val="center"/>
              <w:rPr>
                <w:rFonts w:hint="eastAsia" w:ascii="黑体" w:hAnsi="黑体" w:eastAsia="黑体" w:cs="黑体"/>
              </w:rPr>
            </w:pPr>
            <w:r>
              <w:rPr>
                <w:rFonts w:hint="eastAsia" w:ascii="黑体" w:hAnsi="黑体" w:eastAsia="黑体" w:cs="黑体"/>
              </w:rPr>
              <w:drawing>
                <wp:inline distT="0" distB="0" distL="114300" distR="114300">
                  <wp:extent cx="1166495" cy="653415"/>
                  <wp:effectExtent l="0" t="0" r="14605" b="13335"/>
                  <wp:docPr id="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
                          <pic:cNvPicPr>
                            <a:picLocks noChangeAspect="1"/>
                          </pic:cNvPicPr>
                        </pic:nvPicPr>
                        <pic:blipFill>
                          <a:blip r:embed="rId12"/>
                          <a:stretch>
                            <a:fillRect/>
                          </a:stretch>
                        </pic:blipFill>
                        <pic:spPr>
                          <a:xfrm>
                            <a:off x="0" y="0"/>
                            <a:ext cx="1166495" cy="65341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default"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6</w:t>
            </w:r>
          </w:p>
        </w:tc>
        <w:tc>
          <w:tcPr>
            <w:tcW w:w="485" w:type="dxa"/>
            <w:vMerge w:val="restart"/>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VR沙盘</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sz w:val="20"/>
                <w:szCs w:val="20"/>
                <w:lang w:val="en-US" w:eastAsia="zh-CN"/>
              </w:rPr>
            </w:pPr>
            <w:r>
              <w:rPr>
                <w:rFonts w:hint="eastAsia" w:ascii="黑体" w:hAnsi="黑体" w:eastAsia="黑体" w:cs="黑体"/>
                <w:sz w:val="20"/>
                <w:szCs w:val="20"/>
                <w:lang w:val="en-US" w:eastAsia="zh-CN"/>
              </w:rPr>
              <w:t>VR沙盘</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在VR沙盘中可任意放大缩小选择等全方位的操作，可深入的了解项目内部规划分布，楼栋分布，出入口等配套信息</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【制作方式：UE4版本VR沙盘】</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jc w:val="center"/>
              <w:rPr>
                <w:rFonts w:hint="eastAsia" w:ascii="黑体" w:hAnsi="黑体" w:eastAsia="黑体" w:cs="黑体"/>
                <w:sz w:val="20"/>
                <w:szCs w:val="20"/>
              </w:rPr>
            </w:pPr>
            <w:r>
              <w:rPr>
                <w:rFonts w:hint="eastAsia" w:ascii="黑体" w:hAnsi="黑体" w:eastAsia="黑体" w:cs="黑体"/>
                <w:color w:val="auto"/>
              </w:rPr>
              <w:drawing>
                <wp:inline distT="0" distB="0" distL="114300" distR="114300">
                  <wp:extent cx="1166495" cy="601345"/>
                  <wp:effectExtent l="0" t="0" r="14605" b="8255"/>
                  <wp:docPr id="6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0"/>
                          <pic:cNvPicPr>
                            <a:picLocks noChangeAspect="1"/>
                          </pic:cNvPicPr>
                        </pic:nvPicPr>
                        <pic:blipFill>
                          <a:blip r:embed="rId13"/>
                          <a:srcRect b="17943"/>
                          <a:stretch>
                            <a:fillRect/>
                          </a:stretch>
                        </pic:blipFill>
                        <pic:spPr>
                          <a:xfrm>
                            <a:off x="0" y="0"/>
                            <a:ext cx="1166495" cy="60134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default"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地块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7</w:t>
            </w:r>
          </w:p>
        </w:tc>
        <w:tc>
          <w:tcPr>
            <w:tcW w:w="485"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top"/>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日夜景变化</w:t>
            </w:r>
          </w:p>
          <w:p>
            <w:pPr>
              <w:keepNext w:val="0"/>
              <w:keepLines w:val="0"/>
              <w:widowControl/>
              <w:suppressLineNumbers w:val="0"/>
              <w:jc w:val="both"/>
              <w:textAlignment w:val="top"/>
              <w:rPr>
                <w:rFonts w:hint="eastAsia" w:ascii="黑体" w:hAnsi="黑体" w:eastAsia="黑体" w:cs="黑体"/>
                <w:i w:val="0"/>
                <w:color w:val="000000"/>
                <w:kern w:val="2"/>
                <w:sz w:val="20"/>
                <w:szCs w:val="20"/>
                <w:u w:val="none"/>
                <w:lang w:val="en-US" w:eastAsia="zh-CN" w:bidi="ar-SA"/>
              </w:rPr>
            </w:pPr>
            <w:r>
              <w:rPr>
                <w:rFonts w:hint="eastAsia" w:ascii="黑体" w:hAnsi="黑体" w:eastAsia="黑体" w:cs="黑体"/>
                <w:i w:val="0"/>
                <w:color w:val="000000"/>
                <w:kern w:val="0"/>
                <w:sz w:val="20"/>
                <w:szCs w:val="20"/>
                <w:u w:val="none"/>
                <w:lang w:val="en-US" w:eastAsia="zh-CN" w:bidi="ar"/>
              </w:rPr>
              <w:t>在已有日景基础上制作夜景，可实现24小时光影变化</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kern w:val="2"/>
                <w:sz w:val="20"/>
                <w:szCs w:val="20"/>
                <w:u w:val="none"/>
                <w:lang w:val="en-US" w:eastAsia="zh-CN" w:bidi="ar-SA"/>
              </w:rPr>
            </w:pPr>
            <w:r>
              <w:rPr>
                <w:rFonts w:hint="eastAsia" w:ascii="黑体" w:hAnsi="黑体" w:eastAsia="黑体" w:cs="黑体"/>
                <w:color w:val="auto"/>
                <w:sz w:val="21"/>
                <w:szCs w:val="21"/>
                <w:lang w:val="en-US" w:eastAsia="zh-CN"/>
              </w:rPr>
              <w:drawing>
                <wp:inline distT="0" distB="0" distL="114300" distR="114300">
                  <wp:extent cx="1166495" cy="576580"/>
                  <wp:effectExtent l="0" t="0" r="14605" b="13970"/>
                  <wp:docPr id="63" name="图片 5" descr="QQ图片20180313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 descr="QQ图片20180313100029"/>
                          <pic:cNvPicPr>
                            <a:picLocks noChangeAspect="1"/>
                          </pic:cNvPicPr>
                        </pic:nvPicPr>
                        <pic:blipFill>
                          <a:blip r:embed="rId14"/>
                          <a:stretch>
                            <a:fillRect/>
                          </a:stretch>
                        </pic:blipFill>
                        <pic:spPr>
                          <a:xfrm>
                            <a:off x="0" y="0"/>
                            <a:ext cx="1166495" cy="576580"/>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default" w:ascii="黑体" w:hAnsi="黑体" w:eastAsia="黑体" w:cs="黑体"/>
                <w:i w:val="0"/>
                <w:color w:val="000000"/>
                <w:kern w:val="2"/>
                <w:sz w:val="20"/>
                <w:szCs w:val="20"/>
                <w:u w:val="none"/>
                <w:lang w:val="en-US" w:eastAsia="zh-CN" w:bidi="ar-SA"/>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2"/>
                <w:sz w:val="20"/>
                <w:szCs w:val="20"/>
                <w:u w:val="none"/>
                <w:lang w:val="en-US" w:eastAsia="zh-CN" w:bidi="ar-SA"/>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2"/>
                <w:sz w:val="20"/>
                <w:szCs w:val="20"/>
                <w:u w:val="none"/>
                <w:lang w:val="en-US" w:eastAsia="zh-CN" w:bidi="ar-SA"/>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8</w:t>
            </w: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单体展示</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单体演绎</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根据不同单体类型，制作单体演绎</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【制作方式：UE4版本VR单体】</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jc w:val="center"/>
              <w:rPr>
                <w:rFonts w:hint="eastAsia" w:ascii="黑体" w:hAnsi="黑体" w:eastAsia="黑体" w:cs="黑体"/>
                <w:sz w:val="20"/>
                <w:szCs w:val="20"/>
              </w:rPr>
            </w:pPr>
            <w:r>
              <w:rPr>
                <w:rFonts w:hint="eastAsia" w:ascii="黑体" w:hAnsi="黑体" w:eastAsia="黑体" w:cs="黑体"/>
                <w:sz w:val="20"/>
                <w:szCs w:val="20"/>
              </w:rPr>
              <w:drawing>
                <wp:inline distT="0" distB="0" distL="114300" distR="114300">
                  <wp:extent cx="1166495" cy="624840"/>
                  <wp:effectExtent l="0" t="0" r="14605" b="3810"/>
                  <wp:docPr id="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pic:cNvPicPr>
                            <a:picLocks noChangeAspect="1"/>
                          </pic:cNvPicPr>
                        </pic:nvPicPr>
                        <pic:blipFill>
                          <a:blip r:embed="rId15"/>
                          <a:stretch>
                            <a:fillRect/>
                          </a:stretch>
                        </pic:blipFill>
                        <pic:spPr>
                          <a:xfrm>
                            <a:off x="0" y="0"/>
                            <a:ext cx="1166495" cy="624840"/>
                          </a:xfrm>
                          <a:prstGeom prst="rect">
                            <a:avLst/>
                          </a:prstGeom>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栋</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9</w:t>
            </w:r>
          </w:p>
        </w:tc>
        <w:tc>
          <w:tcPr>
            <w:tcW w:w="485" w:type="dxa"/>
            <w:vMerge w:val="restart"/>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景观展示</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top"/>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重点景观路线，沿景观轴线范围漫游，每条路线不超过200米</w:t>
            </w:r>
          </w:p>
          <w:p>
            <w:pPr>
              <w:pStyle w:val="2"/>
              <w:jc w:val="both"/>
              <w:rPr>
                <w:rFonts w:hint="eastAsia" w:ascii="黑体" w:hAnsi="黑体" w:eastAsia="黑体" w:cs="黑体"/>
                <w:kern w:val="2"/>
                <w:sz w:val="21"/>
                <w:lang w:val="en-US" w:eastAsia="zh-CN"/>
              </w:rPr>
            </w:pPr>
            <w:r>
              <w:rPr>
                <w:rFonts w:hint="eastAsia" w:ascii="黑体" w:hAnsi="黑体" w:eastAsia="黑体" w:cs="黑体"/>
                <w:i w:val="0"/>
                <w:color w:val="000000"/>
                <w:kern w:val="0"/>
                <w:sz w:val="20"/>
                <w:szCs w:val="20"/>
                <w:u w:val="none"/>
                <w:lang w:val="en-US" w:eastAsia="zh-CN" w:bidi="ar"/>
              </w:rPr>
              <w:t>【制作方式：UE4版本VR漫游】</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kern w:val="2"/>
                <w:sz w:val="20"/>
                <w:szCs w:val="20"/>
                <w:u w:val="none"/>
                <w:lang w:val="en-US" w:eastAsia="zh-CN" w:bidi="ar-SA"/>
              </w:rPr>
            </w:pPr>
            <w:r>
              <w:rPr>
                <w:rFonts w:hint="eastAsia" w:ascii="黑体" w:hAnsi="黑体" w:eastAsia="黑体" w:cs="黑体"/>
              </w:rPr>
              <w:drawing>
                <wp:inline distT="0" distB="0" distL="114300" distR="114300">
                  <wp:extent cx="1166495" cy="647065"/>
                  <wp:effectExtent l="0" t="0" r="14605" b="635"/>
                  <wp:docPr id="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
                          <pic:cNvPicPr>
                            <a:picLocks noChangeAspect="1"/>
                          </pic:cNvPicPr>
                        </pic:nvPicPr>
                        <pic:blipFill>
                          <a:blip r:embed="rId16"/>
                          <a:stretch>
                            <a:fillRect/>
                          </a:stretch>
                        </pic:blipFill>
                        <pic:spPr>
                          <a:xfrm>
                            <a:off x="0" y="0"/>
                            <a:ext cx="1166495" cy="64706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default" w:ascii="黑体" w:hAnsi="黑体" w:eastAsia="黑体" w:cs="黑体"/>
                <w:i w:val="0"/>
                <w:color w:val="000000"/>
                <w:kern w:val="2"/>
                <w:sz w:val="20"/>
                <w:szCs w:val="20"/>
                <w:u w:val="none"/>
                <w:lang w:val="en-US" w:eastAsia="zh-CN" w:bidi="ar-SA"/>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2"/>
                <w:sz w:val="20"/>
                <w:szCs w:val="20"/>
                <w:u w:val="none"/>
                <w:lang w:val="en-US" w:eastAsia="zh-CN" w:bidi="ar-SA"/>
              </w:rPr>
            </w:pPr>
            <w:r>
              <w:rPr>
                <w:rFonts w:hint="eastAsia"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2"/>
                <w:sz w:val="20"/>
                <w:szCs w:val="20"/>
                <w:u w:val="none"/>
                <w:lang w:val="en-US" w:eastAsia="zh-CN" w:bidi="ar-SA"/>
              </w:rPr>
            </w:pPr>
            <w:r>
              <w:rPr>
                <w:rFonts w:hint="eastAsia" w:ascii="黑体" w:hAnsi="黑体" w:eastAsia="黑体" w:cs="黑体"/>
                <w:i w:val="0"/>
                <w:color w:val="000000"/>
                <w:kern w:val="0"/>
                <w:sz w:val="20"/>
                <w:szCs w:val="20"/>
                <w:u w:val="none"/>
                <w:lang w:val="en-US" w:eastAsia="zh-CN" w:bidi="ar"/>
              </w:rPr>
              <w:t>条</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default" w:ascii="黑体" w:hAnsi="黑体" w:eastAsia="黑体" w:cs="黑体"/>
                <w:i w:val="0"/>
                <w:color w:val="000000"/>
                <w:kern w:val="2"/>
                <w:sz w:val="20"/>
                <w:szCs w:val="20"/>
                <w:u w:val="none"/>
                <w:lang w:val="en-US" w:eastAsia="zh-CN" w:bidi="ar-SA"/>
              </w:rPr>
            </w:pPr>
          </w:p>
        </w:tc>
      </w:tr>
      <w:tr>
        <w:tblPrEx>
          <w:shd w:val="clear" w:color="auto" w:fill="auto"/>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10</w:t>
            </w:r>
          </w:p>
        </w:tc>
        <w:tc>
          <w:tcPr>
            <w:tcW w:w="485"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top"/>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小区VR景观漫游 小区任意漫游生活氛围的形象呈现，以第一人称在景观园林自由漫步，真实还原未来园林场景</w:t>
            </w:r>
          </w:p>
          <w:p>
            <w:pPr>
              <w:keepNext w:val="0"/>
              <w:keepLines w:val="0"/>
              <w:widowControl/>
              <w:suppressLineNumbers w:val="0"/>
              <w:jc w:val="both"/>
              <w:textAlignment w:val="top"/>
              <w:rPr>
                <w:rFonts w:hint="eastAsia" w:ascii="黑体" w:hAnsi="黑体" w:eastAsia="黑体" w:cs="黑体"/>
                <w:i w:val="0"/>
                <w:color w:val="000000"/>
                <w:kern w:val="2"/>
                <w:sz w:val="20"/>
                <w:szCs w:val="20"/>
                <w:u w:val="none"/>
                <w:lang w:val="en-US" w:eastAsia="zh-CN" w:bidi="ar-SA"/>
              </w:rPr>
            </w:pPr>
            <w:r>
              <w:rPr>
                <w:rFonts w:hint="eastAsia" w:ascii="黑体" w:hAnsi="黑体" w:eastAsia="黑体" w:cs="黑体"/>
                <w:i w:val="0"/>
                <w:color w:val="000000"/>
                <w:kern w:val="0"/>
                <w:sz w:val="20"/>
                <w:szCs w:val="20"/>
                <w:u w:val="none"/>
                <w:lang w:val="en-US" w:eastAsia="zh-CN" w:bidi="ar"/>
              </w:rPr>
              <w:t>【制作方式：UE4版本VR漫游】</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jc w:val="center"/>
              <w:rPr>
                <w:rFonts w:hint="eastAsia" w:ascii="黑体" w:hAnsi="黑体" w:eastAsia="黑体" w:cs="黑体"/>
                <w:lang w:val="en-US" w:eastAsia="zh-CN"/>
              </w:rPr>
            </w:pPr>
            <w:r>
              <w:rPr>
                <w:rFonts w:hint="eastAsia" w:ascii="黑体" w:hAnsi="黑体" w:eastAsia="黑体" w:cs="黑体"/>
              </w:rPr>
              <w:drawing>
                <wp:inline distT="0" distB="0" distL="114300" distR="114300">
                  <wp:extent cx="1166495" cy="639445"/>
                  <wp:effectExtent l="0" t="0" r="14605" b="8255"/>
                  <wp:docPr id="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
                          <pic:cNvPicPr>
                            <a:picLocks noChangeAspect="1"/>
                          </pic:cNvPicPr>
                        </pic:nvPicPr>
                        <pic:blipFill>
                          <a:blip r:embed="rId17"/>
                          <a:srcRect r="1878" b="17461"/>
                          <a:stretch>
                            <a:fillRect/>
                          </a:stretch>
                        </pic:blipFill>
                        <pic:spPr>
                          <a:xfrm>
                            <a:off x="0" y="0"/>
                            <a:ext cx="1166495" cy="63944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default" w:ascii="黑体" w:hAnsi="黑体" w:eastAsia="黑体" w:cs="黑体"/>
                <w:i w:val="0"/>
                <w:color w:val="000000"/>
                <w:kern w:val="2"/>
                <w:sz w:val="20"/>
                <w:szCs w:val="20"/>
                <w:u w:val="none"/>
                <w:lang w:val="en-US" w:eastAsia="zh-CN" w:bidi="ar-SA"/>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2"/>
                <w:sz w:val="20"/>
                <w:szCs w:val="20"/>
                <w:u w:val="none"/>
                <w:lang w:val="en-US" w:eastAsia="zh-CN" w:bidi="ar-SA"/>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2"/>
                <w:sz w:val="20"/>
                <w:szCs w:val="20"/>
                <w:u w:val="none"/>
                <w:lang w:val="en-US" w:eastAsia="zh-CN" w:bidi="ar-SA"/>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default" w:ascii="黑体" w:hAnsi="黑体" w:eastAsia="黑体" w:cs="黑体"/>
                <w:i w:val="0"/>
                <w:color w:val="000000"/>
                <w:kern w:val="2"/>
                <w:sz w:val="20"/>
                <w:szCs w:val="20"/>
                <w:u w:val="none"/>
                <w:lang w:val="en-US" w:eastAsia="zh-CN" w:bidi="ar-SA"/>
              </w:rPr>
            </w:pPr>
          </w:p>
        </w:tc>
      </w:tr>
      <w:tr>
        <w:tblPrEx>
          <w:shd w:val="clear" w:color="auto" w:fill="auto"/>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11</w:t>
            </w: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一房一景</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实现在阳台看窗外未来景观，用三维制作的方式还原室外景观</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jc w:val="center"/>
              <w:rPr>
                <w:rFonts w:hint="eastAsia" w:ascii="黑体" w:hAnsi="黑体" w:eastAsia="黑体" w:cs="黑体"/>
                <w:kern w:val="2"/>
                <w:sz w:val="20"/>
                <w:szCs w:val="20"/>
                <w:lang w:val="en-US" w:eastAsia="zh-CN" w:bidi="ar-SA"/>
              </w:rPr>
            </w:pPr>
            <w:r>
              <w:rPr>
                <w:rFonts w:hint="eastAsia" w:ascii="黑体" w:hAnsi="黑体" w:eastAsia="黑体" w:cs="黑体"/>
                <w:color w:val="auto"/>
              </w:rPr>
              <w:drawing>
                <wp:inline distT="0" distB="0" distL="114300" distR="114300">
                  <wp:extent cx="1166495" cy="622300"/>
                  <wp:effectExtent l="0" t="0" r="14605" b="6350"/>
                  <wp:docPr id="2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8"/>
                          <pic:cNvPicPr>
                            <a:picLocks noChangeAspect="1"/>
                          </pic:cNvPicPr>
                        </pic:nvPicPr>
                        <pic:blipFill>
                          <a:blip r:embed="rId18"/>
                          <a:stretch>
                            <a:fillRect/>
                          </a:stretch>
                        </pic:blipFill>
                        <pic:spPr>
                          <a:xfrm>
                            <a:off x="0" y="0"/>
                            <a:ext cx="1166495" cy="622300"/>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default" w:ascii="黑体" w:hAnsi="黑体" w:eastAsia="黑体" w:cs="黑体"/>
                <w:i w:val="0"/>
                <w:color w:val="000000"/>
                <w:kern w:val="2"/>
                <w:sz w:val="20"/>
                <w:szCs w:val="20"/>
                <w:u w:val="none"/>
                <w:lang w:val="en-US" w:eastAsia="zh-CN" w:bidi="ar-SA"/>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栋</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152"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12</w:t>
            </w: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default" w:ascii="黑体" w:hAnsi="黑体" w:eastAsia="黑体" w:cs="黑体"/>
                <w:i w:val="0"/>
                <w:color w:val="000000"/>
                <w:kern w:val="0"/>
                <w:sz w:val="20"/>
                <w:szCs w:val="20"/>
                <w:u w:val="none"/>
                <w:lang w:val="en-US" w:eastAsia="zh-CN" w:bidi="ar"/>
              </w:rPr>
            </w:pPr>
            <w:r>
              <w:rPr>
                <w:rFonts w:hint="eastAsia" w:cs="黑体"/>
                <w:i w:val="0"/>
                <w:color w:val="000000"/>
                <w:kern w:val="0"/>
                <w:sz w:val="20"/>
                <w:szCs w:val="20"/>
                <w:u w:val="none"/>
                <w:lang w:val="en-US" w:eastAsia="zh-CN" w:bidi="ar"/>
              </w:rPr>
              <w:t>户型落位</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可以由3D沙盘展示户型落位，精准展示落位效果</w:t>
            </w:r>
          </w:p>
          <w:p>
            <w:pPr>
              <w:pStyle w:val="2"/>
              <w:jc w:val="both"/>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甲方提供户型落位信息，已制作沙盘则由乙方渲染户型落位底图，未制作沙盘则需甲方提供户型落位底图</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b w:val="0"/>
                <w:bCs w:val="0"/>
                <w:i w:val="0"/>
                <w:iCs w:val="0"/>
                <w:color w:val="000000" w:themeColor="text1"/>
                <w:kern w:val="0"/>
                <w:sz w:val="20"/>
                <w:szCs w:val="20"/>
                <w:u w:val="none"/>
                <w:lang w:val="en-US" w:eastAsia="zh-CN" w:bidi="ar"/>
                <w14:textFill>
                  <w14:solidFill>
                    <w14:schemeClr w14:val="tx1"/>
                  </w14:solidFill>
                </w14:textFill>
              </w:rPr>
              <w:t>【制作方式：图文标注】</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jc w:val="center"/>
              <w:rPr>
                <w:rFonts w:hint="eastAsia" w:ascii="黑体" w:hAnsi="黑体" w:eastAsia="黑体" w:cs="黑体"/>
                <w:color w:val="auto"/>
              </w:rPr>
            </w:pPr>
            <w:r>
              <w:rPr>
                <w:rFonts w:hint="eastAsia" w:ascii="黑体" w:hAnsi="黑体" w:eastAsia="黑体" w:cs="黑体"/>
                <w:b w:val="0"/>
                <w:bCs w:val="0"/>
                <w:sz w:val="20"/>
                <w:szCs w:val="20"/>
              </w:rPr>
              <w:drawing>
                <wp:inline distT="0" distB="0" distL="114300" distR="114300">
                  <wp:extent cx="1166495" cy="705485"/>
                  <wp:effectExtent l="0" t="0" r="14605" b="18415"/>
                  <wp:docPr id="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
                          <pic:cNvPicPr>
                            <a:picLocks noChangeAspect="1"/>
                          </pic:cNvPicPr>
                        </pic:nvPicPr>
                        <pic:blipFill>
                          <a:blip r:embed="rId19"/>
                          <a:stretch>
                            <a:fillRect/>
                          </a:stretch>
                        </pic:blipFill>
                        <pic:spPr>
                          <a:xfrm>
                            <a:off x="0" y="0"/>
                            <a:ext cx="1166495" cy="70548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default" w:ascii="黑体" w:hAnsi="黑体" w:eastAsia="黑体" w:cs="黑体"/>
                <w:i w:val="0"/>
                <w:color w:val="000000"/>
                <w:kern w:val="2"/>
                <w:sz w:val="20"/>
                <w:szCs w:val="20"/>
                <w:u w:val="none"/>
                <w:lang w:val="en-US" w:eastAsia="zh-CN" w:bidi="ar-SA"/>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eastAsia" w:ascii="黑体" w:hAnsi="黑体" w:eastAsia="黑体" w:cs="黑体"/>
                <w:i w:val="0"/>
                <w:color w:val="000000"/>
                <w:sz w:val="20"/>
                <w:szCs w:val="20"/>
                <w:u w:val="none"/>
                <w:lang w:val="en-US" w:eastAsia="zh-CN"/>
              </w:rPr>
            </w:pPr>
          </w:p>
        </w:tc>
      </w:tr>
      <w:tr>
        <w:tblPrEx>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13</w:t>
            </w: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b w:val="0"/>
                <w:bCs w:val="0"/>
                <w:sz w:val="20"/>
                <w:szCs w:val="20"/>
                <w:vertAlign w:val="baseline"/>
                <w:lang w:val="en-US" w:eastAsia="zh-CN"/>
              </w:rPr>
              <w:t>户型图展示</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b w:val="0"/>
                <w:bCs w:val="0"/>
                <w:i w:val="0"/>
                <w:iCs w:val="0"/>
                <w:color w:val="000000" w:themeColor="text1"/>
                <w:kern w:val="0"/>
                <w:sz w:val="20"/>
                <w:szCs w:val="20"/>
                <w:u w:val="none"/>
                <w:lang w:val="en-US" w:eastAsia="zh-CN" w:bidi="ar"/>
                <w14:textFill>
                  <w14:solidFill>
                    <w14:schemeClr w14:val="tx1"/>
                  </w14:solidFill>
                </w14:textFill>
              </w:rPr>
            </w:pPr>
            <w:r>
              <w:rPr>
                <w:rFonts w:hint="eastAsia" w:ascii="黑体" w:hAnsi="黑体" w:eastAsia="黑体" w:cs="黑体"/>
                <w:b w:val="0"/>
                <w:bCs w:val="0"/>
                <w:i w:val="0"/>
                <w:iCs w:val="0"/>
                <w:color w:val="000000" w:themeColor="text1"/>
                <w:kern w:val="0"/>
                <w:sz w:val="20"/>
                <w:szCs w:val="20"/>
                <w:u w:val="none"/>
                <w:lang w:val="en-US" w:eastAsia="zh-CN" w:bidi="ar"/>
                <w14:textFill>
                  <w14:solidFill>
                    <w14:schemeClr w14:val="tx1"/>
                  </w14:solidFill>
                </w14:textFill>
              </w:rPr>
              <w:t>单个平面户型图展示</w:t>
            </w:r>
          </w:p>
          <w:p>
            <w:pPr>
              <w:pStyle w:val="2"/>
              <w:jc w:val="both"/>
              <w:rPr>
                <w:rFonts w:hint="eastAsia" w:ascii="黑体" w:hAnsi="黑体" w:eastAsia="黑体" w:cs="黑体"/>
                <w:b w:val="0"/>
                <w:bCs w:val="0"/>
                <w:i w:val="0"/>
                <w:iCs w:val="0"/>
                <w:color w:val="000000" w:themeColor="text1"/>
                <w:kern w:val="0"/>
                <w:sz w:val="20"/>
                <w:szCs w:val="20"/>
                <w:u w:val="none"/>
                <w:lang w:val="en-US" w:eastAsia="zh-CN" w:bidi="ar"/>
                <w14:textFill>
                  <w14:solidFill>
                    <w14:schemeClr w14:val="tx1"/>
                  </w14:solidFill>
                </w14:textFill>
              </w:rPr>
            </w:pPr>
            <w:r>
              <w:rPr>
                <w:rFonts w:hint="eastAsia" w:ascii="黑体" w:hAnsi="黑体" w:eastAsia="黑体" w:cs="黑体"/>
                <w:b w:val="0"/>
                <w:bCs w:val="0"/>
                <w:i w:val="0"/>
                <w:iCs w:val="0"/>
                <w:color w:val="000000" w:themeColor="text1"/>
                <w:kern w:val="0"/>
                <w:sz w:val="20"/>
                <w:szCs w:val="20"/>
                <w:u w:val="none"/>
                <w:lang w:val="en-US" w:eastAsia="zh-CN" w:bidi="ar"/>
                <w14:textFill>
                  <w14:solidFill>
                    <w14:schemeClr w14:val="tx1"/>
                  </w14:solidFill>
                </w14:textFill>
              </w:rPr>
              <w:t>制作渲染出平面户型图并进行展示，提供户型渲染平面图源文件（带尺寸标注）。</w:t>
            </w:r>
          </w:p>
          <w:p>
            <w:pPr>
              <w:pStyle w:val="2"/>
              <w:jc w:val="both"/>
              <w:rPr>
                <w:rFonts w:hint="eastAsia" w:ascii="黑体" w:hAnsi="黑体" w:eastAsia="黑体" w:cs="黑体"/>
                <w:b w:val="0"/>
                <w:bCs w:val="0"/>
                <w:i w:val="0"/>
                <w:iCs w:val="0"/>
                <w:color w:val="000000" w:themeColor="text1"/>
                <w:kern w:val="0"/>
                <w:sz w:val="20"/>
                <w:szCs w:val="20"/>
                <w:u w:val="none"/>
                <w:lang w:val="en-US" w:eastAsia="zh-CN" w:bidi="ar"/>
                <w14:textFill>
                  <w14:solidFill>
                    <w14:schemeClr w14:val="tx1"/>
                  </w14:solidFill>
                </w14:textFill>
              </w:rPr>
            </w:pPr>
            <w:r>
              <w:rPr>
                <w:rFonts w:hint="eastAsia" w:ascii="黑体" w:hAnsi="黑体" w:eastAsia="黑体" w:cs="黑体"/>
                <w:b w:val="0"/>
                <w:bCs w:val="0"/>
                <w:i w:val="0"/>
                <w:iCs w:val="0"/>
                <w:color w:val="000000" w:themeColor="text1"/>
                <w:kern w:val="0"/>
                <w:sz w:val="20"/>
                <w:szCs w:val="20"/>
                <w:u w:val="none"/>
                <w:lang w:val="en-US" w:eastAsia="zh-CN" w:bidi="ar"/>
                <w14:textFill>
                  <w14:solidFill>
                    <w14:schemeClr w14:val="tx1"/>
                  </w14:solidFill>
                </w14:textFill>
              </w:rPr>
              <w:t>【制作方式：图文介绍】</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eastAsia" w:ascii="黑体" w:hAnsi="黑体" w:eastAsia="黑体" w:cs="黑体"/>
                <w:b w:val="0"/>
                <w:bCs w:val="0"/>
                <w:sz w:val="20"/>
                <w:szCs w:val="20"/>
              </w:rPr>
            </w:pPr>
            <w:r>
              <w:rPr>
                <w:rFonts w:hint="eastAsia" w:ascii="黑体" w:hAnsi="黑体" w:eastAsia="黑体" w:cs="黑体"/>
                <w:b w:val="0"/>
                <w:bCs w:val="0"/>
                <w:sz w:val="20"/>
                <w:szCs w:val="20"/>
              </w:rPr>
              <w:drawing>
                <wp:inline distT="0" distB="0" distL="114300" distR="114300">
                  <wp:extent cx="1166495" cy="661670"/>
                  <wp:effectExtent l="0" t="0" r="14605" b="5080"/>
                  <wp:docPr id="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4"/>
                          <pic:cNvPicPr>
                            <a:picLocks noChangeAspect="1"/>
                          </pic:cNvPicPr>
                        </pic:nvPicPr>
                        <pic:blipFill>
                          <a:blip r:embed="rId20"/>
                          <a:stretch>
                            <a:fillRect/>
                          </a:stretch>
                        </pic:blipFill>
                        <pic:spPr>
                          <a:xfrm>
                            <a:off x="0" y="0"/>
                            <a:ext cx="1166495" cy="661670"/>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default" w:ascii="黑体" w:hAnsi="黑体" w:eastAsia="黑体" w:cs="黑体"/>
                <w:i w:val="0"/>
                <w:color w:val="000000"/>
                <w:kern w:val="2"/>
                <w:sz w:val="20"/>
                <w:szCs w:val="20"/>
                <w:u w:val="none"/>
                <w:lang w:val="en-US" w:eastAsia="zh-CN" w:bidi="ar-SA"/>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7</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center"/>
              <w:rPr>
                <w:rFonts w:hint="default"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1352"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14</w:t>
            </w: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户型展示</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更多VR精装户型</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以精装效果呈现，实现在户型内部自由漫游</w:t>
            </w:r>
          </w:p>
          <w:p>
            <w:pPr>
              <w:pStyle w:val="2"/>
              <w:jc w:val="both"/>
              <w:rPr>
                <w:rFonts w:hint="default" w:ascii="黑体" w:hAnsi="黑体" w:eastAsia="黑体" w:cs="黑体"/>
                <w:i w:val="0"/>
                <w:color w:val="000000"/>
                <w:kern w:val="0"/>
                <w:sz w:val="20"/>
                <w:szCs w:val="20"/>
                <w:u w:val="none"/>
                <w:lang w:val="en-US" w:eastAsia="zh-CN" w:bidi="ar"/>
              </w:rPr>
            </w:pP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jc w:val="center"/>
              <w:rPr>
                <w:rFonts w:hint="eastAsia" w:ascii="黑体" w:hAnsi="黑体" w:eastAsia="黑体" w:cs="黑体"/>
                <w:kern w:val="2"/>
                <w:sz w:val="20"/>
                <w:szCs w:val="20"/>
                <w:lang w:val="en-US" w:eastAsia="zh-CN" w:bidi="ar-SA"/>
              </w:rPr>
            </w:pPr>
            <w:r>
              <w:rPr>
                <w:rFonts w:hint="eastAsia" w:ascii="黑体" w:hAnsi="黑体" w:eastAsia="黑体" w:cs="黑体"/>
              </w:rPr>
              <w:drawing>
                <wp:inline distT="0" distB="0" distL="114300" distR="114300">
                  <wp:extent cx="1166495" cy="654050"/>
                  <wp:effectExtent l="0" t="0" r="14605" b="12700"/>
                  <wp:docPr id="4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3"/>
                          <pic:cNvPicPr>
                            <a:picLocks noChangeAspect="1"/>
                          </pic:cNvPicPr>
                        </pic:nvPicPr>
                        <pic:blipFill>
                          <a:blip r:embed="rId21"/>
                          <a:stretch>
                            <a:fillRect/>
                          </a:stretch>
                        </pic:blipFill>
                        <pic:spPr>
                          <a:xfrm>
                            <a:off x="0" y="0"/>
                            <a:ext cx="1166495" cy="654050"/>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default" w:ascii="黑体" w:hAnsi="黑体" w:eastAsia="黑体" w:cs="黑体"/>
                <w:i w:val="0"/>
                <w:color w:val="000000"/>
                <w:kern w:val="2"/>
                <w:sz w:val="20"/>
                <w:szCs w:val="20"/>
                <w:u w:val="none"/>
                <w:lang w:val="en-US" w:eastAsia="zh-CN" w:bidi="ar-SA"/>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490</w:t>
            </w:r>
          </w:p>
          <w:p>
            <w:pPr>
              <w:pStyle w:val="2"/>
              <w:rPr>
                <w:rFonts w:hint="default"/>
                <w:lang w:val="en-US" w:eastAsia="zh-CN"/>
              </w:rPr>
            </w:pPr>
            <w:r>
              <w:rPr>
                <w:rFonts w:hint="eastAsia" w:cs="黑体"/>
                <w:i w:val="0"/>
                <w:color w:val="000000"/>
                <w:kern w:val="0"/>
                <w:sz w:val="15"/>
                <w:szCs w:val="15"/>
                <w:u w:val="none"/>
                <w:lang w:val="en-US" w:eastAsia="zh-CN" w:bidi="ar"/>
              </w:rPr>
              <w:t>（3套）</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jc w:val="center"/>
              <w:rPr>
                <w:rFonts w:hint="default" w:ascii="黑体" w:hAnsi="黑体" w:eastAsia="黑体" w:cs="黑体"/>
                <w:i w:val="0"/>
                <w:color w:val="000000"/>
                <w:sz w:val="20"/>
                <w:szCs w:val="20"/>
                <w:u w:val="none"/>
                <w:lang w:val="en-US" w:eastAsia="zh-CN"/>
              </w:rPr>
            </w:pPr>
          </w:p>
        </w:tc>
      </w:tr>
      <w:tr>
        <w:tblPrEx>
          <w:tblCellMar>
            <w:top w:w="0" w:type="dxa"/>
            <w:left w:w="0" w:type="dxa"/>
            <w:bottom w:w="0" w:type="dxa"/>
            <w:right w:w="0" w:type="dxa"/>
          </w:tblCellMar>
        </w:tblPrEx>
        <w:trPr>
          <w:trHeight w:val="90" w:hRule="atLeast"/>
          <w:jc w:val="center"/>
        </w:trPr>
        <w:tc>
          <w:tcPr>
            <w:tcW w:w="55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ind w:left="425" w:leftChars="0" w:hanging="425" w:firstLine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15</w:t>
            </w:r>
          </w:p>
        </w:tc>
        <w:tc>
          <w:tcPr>
            <w:tcW w:w="485" w:type="dxa"/>
            <w:vMerge w:val="restart"/>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spacing w:after="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更多版本</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手机端</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根据以上PC端内容同步转制手机端</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ind w:left="0" w:leftChars="0" w:right="0" w:rightChars="0"/>
              <w:jc w:val="center"/>
              <w:rPr>
                <w:rFonts w:hint="eastAsia" w:ascii="黑体" w:hAnsi="黑体" w:eastAsia="黑体" w:cs="黑体"/>
              </w:rPr>
            </w:pPr>
            <w:r>
              <w:rPr>
                <w:rFonts w:hint="eastAsia" w:ascii="黑体" w:hAnsi="黑体" w:eastAsia="黑体" w:cs="黑体"/>
              </w:rPr>
              <w:drawing>
                <wp:inline distT="0" distB="0" distL="114300" distR="114300">
                  <wp:extent cx="1166495" cy="770255"/>
                  <wp:effectExtent l="0" t="0" r="14605" b="10795"/>
                  <wp:docPr id="1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5"/>
                          <pic:cNvPicPr>
                            <a:picLocks noChangeAspect="1"/>
                          </pic:cNvPicPr>
                        </pic:nvPicPr>
                        <pic:blipFill>
                          <a:blip r:embed="rId22"/>
                          <a:srcRect r="6132"/>
                          <a:stretch>
                            <a:fillRect/>
                          </a:stretch>
                        </pic:blipFill>
                        <pic:spPr>
                          <a:xfrm>
                            <a:off x="0" y="0"/>
                            <a:ext cx="1166495" cy="770255"/>
                          </a:xfrm>
                          <a:prstGeom prst="rect">
                            <a:avLst/>
                          </a:prstGeom>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ind w:left="0" w:leftChars="0" w:right="0" w:rightChars="0"/>
              <w:jc w:val="center"/>
              <w:rPr>
                <w:rFonts w:hint="default"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ind w:left="0" w:leftChars="0" w:right="0" w:rightChars="0"/>
              <w:jc w:val="center"/>
              <w:rPr>
                <w:rFonts w:hint="default"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ind w:left="425" w:leftChars="0" w:hanging="425" w:firstLineChars="0"/>
              <w:jc w:val="center"/>
              <w:textAlignment w:val="center"/>
              <w:rPr>
                <w:rFonts w:hint="eastAsia" w:ascii="黑体" w:hAnsi="黑体" w:eastAsia="黑体" w:cs="黑体"/>
                <w:i w:val="0"/>
                <w:color w:val="000000"/>
                <w:kern w:val="0"/>
                <w:sz w:val="20"/>
                <w:szCs w:val="20"/>
                <w:u w:val="none"/>
                <w:lang w:val="en-US" w:eastAsia="zh-CN" w:bidi="ar"/>
              </w:rPr>
            </w:pPr>
          </w:p>
        </w:tc>
        <w:tc>
          <w:tcPr>
            <w:tcW w:w="485"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spacing w:after="0"/>
              <w:jc w:val="center"/>
              <w:textAlignment w:val="center"/>
              <w:rPr>
                <w:rFonts w:hint="eastAsia" w:ascii="黑体" w:hAnsi="黑体" w:eastAsia="黑体" w:cs="黑体"/>
                <w:i w:val="0"/>
                <w:color w:val="000000"/>
                <w:kern w:val="0"/>
                <w:sz w:val="20"/>
                <w:szCs w:val="20"/>
                <w:u w:val="none"/>
                <w:lang w:val="en-US" w:eastAsia="zh-CN" w:bidi="ar"/>
              </w:rPr>
            </w:pP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Ipad端</w:t>
            </w:r>
          </w:p>
          <w:p>
            <w:pPr>
              <w:pStyle w:val="2"/>
              <w:jc w:val="both"/>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根据以上PC端内容同步转制ipad端</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ind w:left="0" w:leftChars="0" w:right="0" w:rightChars="0"/>
              <w:jc w:val="center"/>
              <w:rPr>
                <w:rFonts w:hint="eastAsia" w:ascii="黑体" w:hAnsi="黑体" w:eastAsia="黑体" w:cs="黑体"/>
              </w:rPr>
            </w:pPr>
            <w:r>
              <w:rPr>
                <w:rFonts w:hint="eastAsia" w:ascii="黑体" w:hAnsi="黑体" w:eastAsia="黑体" w:cs="黑体"/>
              </w:rPr>
              <w:drawing>
                <wp:inline distT="0" distB="0" distL="114300" distR="114300">
                  <wp:extent cx="1329055" cy="691515"/>
                  <wp:effectExtent l="0" t="0" r="4445" b="3810"/>
                  <wp:docPr id="71" name="图片 10" descr="src=http_%2F%2F5b0988e595225.cdn.sohucs.com%2Fimages%2F20200309%2Fcb3bca450c124b91a12d530c9d2fb5bc.jpeg&amp;refer=http_%2F%2F5b0988e595225.cdn.sohu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0" descr="src=http_%2F%2F5b0988e595225.cdn.sohucs.com%2Fimages%2F20200309%2Fcb3bca450c124b91a12d530c9d2fb5bc.jpeg&amp;refer=http_%2F%2F5b0988e595225.cdn.sohucs"/>
                          <pic:cNvPicPr>
                            <a:picLocks noChangeAspect="1"/>
                          </pic:cNvPicPr>
                        </pic:nvPicPr>
                        <pic:blipFill>
                          <a:blip r:embed="rId23"/>
                          <a:srcRect l="9204" t="-364" r="1373" b="364"/>
                          <a:stretch>
                            <a:fillRect/>
                          </a:stretch>
                        </pic:blipFill>
                        <pic:spPr>
                          <a:xfrm>
                            <a:off x="0" y="0"/>
                            <a:ext cx="1329055" cy="691515"/>
                          </a:xfrm>
                          <a:prstGeom prst="rect">
                            <a:avLst/>
                          </a:prstGeom>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ind w:left="0" w:leftChars="0" w:right="0" w:rightChars="0"/>
              <w:jc w:val="center"/>
              <w:rPr>
                <w:rFonts w:hint="default"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ind w:left="0" w:leftChars="0" w:right="0" w:rightChars="0"/>
              <w:jc w:val="center"/>
              <w:rPr>
                <w:rFonts w:hint="default"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5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ind w:lef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16</w:t>
            </w:r>
          </w:p>
        </w:tc>
        <w:tc>
          <w:tcPr>
            <w:tcW w:w="48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43寸VR智能触摸一体机</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配置要求：</w:t>
            </w:r>
          </w:p>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CPU:因特尔10700K 系列</w:t>
            </w:r>
          </w:p>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主板：华硕</w:t>
            </w:r>
          </w:p>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 xml:space="preserve">内存：16G </w:t>
            </w:r>
          </w:p>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 xml:space="preserve">固态硬盘：250G </w:t>
            </w:r>
          </w:p>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显卡：技嘉3070</w:t>
            </w:r>
          </w:p>
          <w:p>
            <w:pPr>
              <w:pStyle w:val="2"/>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电源：长城650w</w:t>
            </w:r>
          </w:p>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一体机参数：</w:t>
            </w:r>
          </w:p>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显示器、LG55寸，分辨率4K，</w:t>
            </w:r>
          </w:p>
          <w:p>
            <w:pPr>
              <w:pStyle w:val="2"/>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 xml:space="preserve">亮度350cd以上，视角：189/189以上  触摸点：4点以上，端口：VGA*1，HDMI*1，USB*1，红外触摸 </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bidi w:val="0"/>
              <w:ind w:left="0" w:leftChars="0" w:right="0" w:rightChars="0"/>
              <w:jc w:val="center"/>
              <w:rPr>
                <w:rFonts w:hint="eastAsia" w:ascii="黑体" w:hAnsi="黑体" w:eastAsia="黑体" w:cs="黑体"/>
              </w:rPr>
            </w:pPr>
            <w:r>
              <w:drawing>
                <wp:inline distT="0" distB="0" distL="114300" distR="114300">
                  <wp:extent cx="1166495" cy="998855"/>
                  <wp:effectExtent l="0" t="0" r="14605"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4"/>
                          <a:stretch>
                            <a:fillRect/>
                          </a:stretch>
                        </pic:blipFill>
                        <pic:spPr>
                          <a:xfrm>
                            <a:off x="0" y="0"/>
                            <a:ext cx="1166495" cy="998855"/>
                          </a:xfrm>
                          <a:prstGeom prst="rect">
                            <a:avLst/>
                          </a:prstGeom>
                          <a:noFill/>
                          <a:ln>
                            <a:noFill/>
                          </a:ln>
                        </pic:spPr>
                      </pic:pic>
                    </a:graphicData>
                  </a:graphic>
                </wp:inline>
              </w:drawing>
            </w: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ind w:left="0" w:leftChars="0" w:right="0" w:rightChars="0"/>
              <w:jc w:val="center"/>
              <w:rPr>
                <w:rFonts w:hint="default"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ind w:left="0" w:leftChars="0" w:right="0" w:rightChars="0"/>
              <w:jc w:val="center"/>
              <w:rPr>
                <w:rFonts w:hint="default"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454" w:hRule="atLeast"/>
          <w:jc w:val="center"/>
        </w:trPr>
        <w:tc>
          <w:tcPr>
            <w:tcW w:w="1042"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default" w:cs="黑体"/>
                <w:i w:val="0"/>
                <w:color w:val="000000"/>
                <w:kern w:val="0"/>
                <w:sz w:val="20"/>
                <w:szCs w:val="20"/>
                <w:u w:val="none"/>
                <w:lang w:val="en-US" w:eastAsia="zh-CN" w:bidi="ar"/>
              </w:rPr>
            </w:pPr>
            <w:r>
              <w:rPr>
                <w:rFonts w:hint="eastAsia" w:cs="黑体"/>
                <w:i w:val="0"/>
                <w:color w:val="000000"/>
                <w:kern w:val="0"/>
                <w:sz w:val="20"/>
                <w:szCs w:val="20"/>
                <w:u w:val="none"/>
                <w:lang w:val="en-US" w:eastAsia="zh-CN" w:bidi="ar"/>
              </w:rPr>
              <w:t>17</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spacing w:line="240" w:lineRule="auto"/>
              <w:jc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飞鼠</w:t>
            </w: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line="240" w:lineRule="auto"/>
              <w:jc w:val="center"/>
              <w:rPr>
                <w:rFonts w:hint="eastAsia" w:ascii="黑体" w:hAnsi="黑体" w:eastAsia="黑体" w:cs="黑体"/>
                <w:i w:val="0"/>
                <w:color w:val="000000"/>
                <w:kern w:val="0"/>
                <w:sz w:val="20"/>
                <w:szCs w:val="20"/>
                <w:u w:val="none"/>
                <w:lang w:val="en-US" w:eastAsia="zh-CN" w:bidi="ar"/>
              </w:rPr>
            </w:pP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黑体" w:hAnsi="黑体" w:eastAsia="黑体" w:cs="黑体"/>
                <w:i w:val="0"/>
                <w:color w:val="000000"/>
                <w:kern w:val="0"/>
                <w:sz w:val="20"/>
                <w:szCs w:val="20"/>
                <w:u w:val="none"/>
                <w:lang w:val="en-US" w:eastAsia="zh-CN" w:bidi="ar"/>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1</w:t>
            </w: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套</w:t>
            </w: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黑体" w:hAnsi="黑体" w:eastAsia="黑体" w:cs="黑体"/>
                <w:i w:val="0"/>
                <w:color w:val="000000"/>
                <w:kern w:val="0"/>
                <w:sz w:val="20"/>
                <w:szCs w:val="20"/>
                <w:u w:val="none"/>
                <w:lang w:val="en-US" w:eastAsia="zh-CN" w:bidi="ar"/>
              </w:rPr>
            </w:pPr>
          </w:p>
        </w:tc>
      </w:tr>
      <w:tr>
        <w:tblPrEx>
          <w:shd w:val="clear" w:color="auto" w:fill="auto"/>
          <w:tblCellMar>
            <w:top w:w="0" w:type="dxa"/>
            <w:left w:w="0" w:type="dxa"/>
            <w:bottom w:w="0" w:type="dxa"/>
            <w:right w:w="0" w:type="dxa"/>
          </w:tblCellMar>
        </w:tblPrEx>
        <w:trPr>
          <w:trHeight w:val="90" w:hRule="atLeast"/>
          <w:jc w:val="center"/>
        </w:trPr>
        <w:tc>
          <w:tcPr>
            <w:tcW w:w="1042"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黑体" w:hAnsi="黑体" w:eastAsia="黑体" w:cs="黑体"/>
                <w:i w:val="0"/>
                <w:color w:val="000000"/>
                <w:kern w:val="0"/>
                <w:sz w:val="20"/>
                <w:szCs w:val="20"/>
                <w:u w:val="none"/>
                <w:lang w:val="en-US" w:eastAsia="zh-CN" w:bidi="ar"/>
              </w:rPr>
            </w:pPr>
            <w:r>
              <w:rPr>
                <w:rFonts w:hint="eastAsia" w:cs="黑体"/>
                <w:i w:val="0"/>
                <w:color w:val="000000"/>
                <w:kern w:val="0"/>
                <w:sz w:val="20"/>
                <w:szCs w:val="20"/>
                <w:u w:val="none"/>
                <w:lang w:val="en-US" w:eastAsia="zh-CN" w:bidi="ar"/>
              </w:rPr>
              <w:t>小</w:t>
            </w:r>
            <w:r>
              <w:rPr>
                <w:rFonts w:hint="eastAsia" w:ascii="黑体" w:hAnsi="黑体" w:eastAsia="黑体" w:cs="黑体"/>
                <w:i w:val="0"/>
                <w:color w:val="000000"/>
                <w:kern w:val="0"/>
                <w:sz w:val="20"/>
                <w:szCs w:val="20"/>
                <w:u w:val="none"/>
                <w:lang w:val="en-US" w:eastAsia="zh-CN" w:bidi="ar"/>
              </w:rPr>
              <w:t>计</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jc w:val="center"/>
              <w:rPr>
                <w:rFonts w:hint="eastAsia" w:ascii="黑体" w:hAnsi="黑体" w:eastAsia="黑体" w:cs="黑体"/>
                <w:i w:val="0"/>
                <w:color w:val="000000"/>
                <w:kern w:val="0"/>
                <w:sz w:val="20"/>
                <w:szCs w:val="20"/>
                <w:u w:val="none"/>
                <w:lang w:val="en-US" w:eastAsia="zh-CN" w:bidi="ar"/>
              </w:rPr>
            </w:pP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jc w:val="center"/>
              <w:rPr>
                <w:rFonts w:hint="eastAsia" w:ascii="黑体" w:hAnsi="黑体" w:eastAsia="黑体" w:cs="黑体"/>
              </w:rPr>
            </w:pP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jc w:val="center"/>
              <w:rPr>
                <w:rFonts w:hint="eastAsia"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黑体" w:hAnsi="黑体" w:eastAsia="黑体" w:cs="黑体"/>
                <w:i w:val="0"/>
                <w:color w:val="000000"/>
                <w:kern w:val="0"/>
                <w:sz w:val="20"/>
                <w:szCs w:val="20"/>
                <w:u w:val="none"/>
                <w:lang w:val="en-US" w:eastAsia="zh-CN" w:bidi="ar"/>
              </w:rPr>
            </w:pP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黑体" w:hAnsi="黑体" w:eastAsia="黑体" w:cs="黑体"/>
                <w:i w:val="0"/>
                <w:color w:val="000000"/>
                <w:kern w:val="0"/>
                <w:sz w:val="20"/>
                <w:szCs w:val="20"/>
                <w:u w:val="none"/>
                <w:lang w:val="en-US" w:eastAsia="zh-CN" w:bidi="ar"/>
              </w:rPr>
            </w:pP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jc w:val="center"/>
              <w:rPr>
                <w:rFonts w:hint="default"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1042"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黑体" w:hAnsi="黑体" w:eastAsia="黑体" w:cs="黑体"/>
                <w:i w:val="0"/>
                <w:color w:val="000000"/>
                <w:kern w:val="0"/>
                <w:sz w:val="20"/>
                <w:szCs w:val="20"/>
                <w:u w:val="none"/>
                <w:lang w:val="en-US" w:eastAsia="zh-CN" w:bidi="ar"/>
              </w:rPr>
            </w:pPr>
            <w:r>
              <w:rPr>
                <w:rFonts w:hint="eastAsia" w:ascii="黑体" w:hAnsi="黑体" w:eastAsia="黑体" w:cs="黑体"/>
                <w:i w:val="0"/>
                <w:color w:val="000000"/>
                <w:kern w:val="0"/>
                <w:sz w:val="20"/>
                <w:szCs w:val="20"/>
                <w:u w:val="none"/>
                <w:lang w:val="en-US" w:eastAsia="zh-CN" w:bidi="ar"/>
              </w:rPr>
              <w:t>税点</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jc w:val="center"/>
              <w:rPr>
                <w:rFonts w:hint="eastAsia" w:ascii="黑体" w:hAnsi="黑体" w:eastAsia="黑体" w:cs="黑体"/>
                <w:i w:val="0"/>
                <w:color w:val="000000"/>
                <w:kern w:val="0"/>
                <w:sz w:val="20"/>
                <w:szCs w:val="20"/>
                <w:u w:val="none"/>
                <w:lang w:val="en-US" w:eastAsia="zh-CN" w:bidi="ar"/>
              </w:rPr>
            </w:pP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jc w:val="center"/>
              <w:rPr>
                <w:rFonts w:hint="eastAsia" w:ascii="黑体" w:hAnsi="黑体" w:eastAsia="黑体" w:cs="黑体"/>
              </w:rPr>
            </w:pP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jc w:val="center"/>
              <w:rPr>
                <w:rFonts w:hint="eastAsia"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黑体" w:hAnsi="黑体" w:eastAsia="黑体" w:cs="黑体"/>
                <w:i w:val="0"/>
                <w:color w:val="000000"/>
                <w:kern w:val="0"/>
                <w:sz w:val="20"/>
                <w:szCs w:val="20"/>
                <w:u w:val="none"/>
                <w:lang w:val="en-US" w:eastAsia="zh-CN" w:bidi="ar"/>
              </w:rPr>
            </w:pP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黑体" w:hAnsi="黑体" w:eastAsia="黑体" w:cs="黑体"/>
                <w:i w:val="0"/>
                <w:color w:val="000000"/>
                <w:kern w:val="0"/>
                <w:sz w:val="20"/>
                <w:szCs w:val="20"/>
                <w:u w:val="none"/>
                <w:lang w:val="en-US" w:eastAsia="zh-CN" w:bidi="ar"/>
              </w:rPr>
            </w:pP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jc w:val="center"/>
              <w:rPr>
                <w:rFonts w:hint="default" w:ascii="黑体" w:hAnsi="黑体" w:eastAsia="黑体" w:cs="黑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90" w:hRule="atLeast"/>
          <w:jc w:val="center"/>
        </w:trPr>
        <w:tc>
          <w:tcPr>
            <w:tcW w:w="1042"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default" w:ascii="黑体" w:hAnsi="黑体" w:eastAsia="黑体" w:cs="黑体"/>
                <w:i w:val="0"/>
                <w:color w:val="000000"/>
                <w:kern w:val="0"/>
                <w:sz w:val="20"/>
                <w:szCs w:val="20"/>
                <w:u w:val="none"/>
                <w:lang w:val="en-US" w:eastAsia="zh-CN" w:bidi="ar"/>
              </w:rPr>
            </w:pPr>
            <w:r>
              <w:rPr>
                <w:rFonts w:hint="eastAsia" w:cs="黑体"/>
                <w:i w:val="0"/>
                <w:color w:val="000000"/>
                <w:kern w:val="0"/>
                <w:sz w:val="20"/>
                <w:szCs w:val="20"/>
                <w:u w:val="none"/>
                <w:lang w:val="en-US" w:eastAsia="zh-CN" w:bidi="ar"/>
              </w:rPr>
              <w:t>总计</w:t>
            </w:r>
          </w:p>
        </w:tc>
        <w:tc>
          <w:tcPr>
            <w:tcW w:w="3966"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jc w:val="center"/>
              <w:rPr>
                <w:rFonts w:hint="eastAsia" w:ascii="黑体" w:hAnsi="黑体" w:eastAsia="黑体" w:cs="黑体"/>
                <w:i w:val="0"/>
                <w:color w:val="000000"/>
                <w:kern w:val="0"/>
                <w:sz w:val="20"/>
                <w:szCs w:val="20"/>
                <w:u w:val="none"/>
                <w:lang w:val="en-US" w:eastAsia="zh-CN" w:bidi="ar"/>
              </w:rPr>
            </w:pPr>
          </w:p>
        </w:tc>
        <w:tc>
          <w:tcPr>
            <w:tcW w:w="210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jc w:val="center"/>
              <w:rPr>
                <w:rFonts w:hint="eastAsia" w:ascii="黑体" w:hAnsi="黑体" w:eastAsia="黑体" w:cs="黑体"/>
              </w:rPr>
            </w:pPr>
          </w:p>
        </w:tc>
        <w:tc>
          <w:tcPr>
            <w:tcW w:w="94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jc w:val="center"/>
              <w:rPr>
                <w:rFonts w:hint="eastAsia" w:ascii="黑体" w:hAnsi="黑体" w:eastAsia="黑体" w:cs="黑体"/>
                <w:i w:val="0"/>
                <w:color w:val="000000"/>
                <w:sz w:val="20"/>
                <w:szCs w:val="20"/>
                <w:u w:val="none"/>
                <w:lang w:val="en-US" w:eastAsia="zh-CN"/>
              </w:rPr>
            </w:pPr>
          </w:p>
        </w:tc>
        <w:tc>
          <w:tcPr>
            <w:tcW w:w="59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黑体" w:hAnsi="黑体" w:eastAsia="黑体" w:cs="黑体"/>
                <w:i w:val="0"/>
                <w:color w:val="000000"/>
                <w:kern w:val="0"/>
                <w:sz w:val="20"/>
                <w:szCs w:val="20"/>
                <w:u w:val="none"/>
                <w:lang w:val="en-US" w:eastAsia="zh-CN" w:bidi="ar"/>
              </w:rPr>
            </w:pPr>
          </w:p>
        </w:tc>
        <w:tc>
          <w:tcPr>
            <w:tcW w:w="64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黑体" w:hAnsi="黑体" w:eastAsia="黑体" w:cs="黑体"/>
                <w:i w:val="0"/>
                <w:color w:val="000000"/>
                <w:kern w:val="0"/>
                <w:sz w:val="20"/>
                <w:szCs w:val="20"/>
                <w:u w:val="none"/>
                <w:lang w:val="en-US" w:eastAsia="zh-CN" w:bidi="ar"/>
              </w:rPr>
            </w:pPr>
          </w:p>
        </w:tc>
        <w:tc>
          <w:tcPr>
            <w:tcW w:w="89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spacing w:after="0"/>
              <w:jc w:val="center"/>
              <w:rPr>
                <w:rFonts w:hint="eastAsia" w:cs="黑体"/>
                <w:i w:val="0"/>
                <w:color w:val="000000"/>
                <w:sz w:val="20"/>
                <w:szCs w:val="20"/>
                <w:u w:val="none"/>
                <w:lang w:val="en-US" w:eastAsia="zh-CN"/>
              </w:rPr>
            </w:pPr>
          </w:p>
        </w:tc>
      </w:tr>
    </w:tbl>
    <w:p>
      <w:pPr>
        <w:spacing w:after="0"/>
        <w:jc w:val="both"/>
        <w:rPr>
          <w:color w:val="C00000"/>
          <w:sz w:val="20"/>
          <w:szCs w:val="21"/>
        </w:rPr>
      </w:pPr>
    </w:p>
    <w:p>
      <w:pPr>
        <w:jc w:val="both"/>
        <w:rPr>
          <w:rFonts w:hint="eastAsia" w:ascii="微软雅黑" w:hAnsi="微软雅黑" w:cs="微软雅黑"/>
          <w:b/>
          <w:bCs/>
          <w:color w:val="FF0000"/>
          <w:sz w:val="24"/>
          <w:szCs w:val="32"/>
          <w:lang w:val="en-US" w:eastAsia="zh-CN"/>
        </w:rPr>
      </w:pPr>
    </w:p>
    <w:p>
      <w:pPr>
        <w:jc w:val="left"/>
        <w:rPr>
          <w:rFonts w:hint="eastAsia" w:ascii="微软雅黑" w:hAnsi="微软雅黑" w:cs="微软雅黑"/>
          <w:b/>
          <w:bCs/>
          <w:color w:val="FF0000"/>
          <w:sz w:val="24"/>
          <w:szCs w:val="32"/>
          <w:lang w:val="en-US" w:eastAsia="zh-CN"/>
        </w:rPr>
      </w:pPr>
      <w:r>
        <w:rPr>
          <w:rFonts w:hint="eastAsia" w:ascii="微软雅黑" w:hAnsi="微软雅黑" w:cs="微软雅黑"/>
          <w:b/>
          <w:bCs/>
          <w:color w:val="FF0000"/>
          <w:sz w:val="24"/>
          <w:szCs w:val="32"/>
          <w:lang w:val="en-US" w:eastAsia="zh-CN"/>
        </w:rPr>
        <w:t>备注：1、以上为本次商务报价基础选项，具体时长和服务要求可根据项目实际需求调整。</w:t>
      </w:r>
    </w:p>
    <w:p>
      <w:pPr>
        <w:jc w:val="left"/>
        <w:rPr>
          <w:rFonts w:hint="default"/>
          <w:lang w:val="en-US" w:eastAsia="zh-CN"/>
        </w:rPr>
      </w:pPr>
      <w:r>
        <w:rPr>
          <w:rFonts w:hint="eastAsia" w:ascii="微软雅黑" w:hAnsi="微软雅黑" w:cs="微软雅黑"/>
          <w:b/>
          <w:bCs/>
          <w:color w:val="FF0000"/>
          <w:sz w:val="24"/>
          <w:szCs w:val="32"/>
          <w:lang w:val="en-US" w:eastAsia="zh-CN"/>
        </w:rPr>
        <w:t>2、VR看房系统PC版招标方可在清单中挑选需要制作的项目。</w:t>
      </w:r>
    </w:p>
    <w:p>
      <w:pPr>
        <w:jc w:val="both"/>
        <w:rPr>
          <w:rFonts w:hint="eastAsia" w:ascii="微软雅黑" w:hAnsi="微软雅黑" w:cs="微软雅黑"/>
          <w:b/>
          <w:bCs/>
          <w:color w:val="FF0000"/>
          <w:sz w:val="24"/>
          <w:szCs w:val="32"/>
          <w:lang w:val="en-US" w:eastAsia="zh-CN"/>
        </w:rPr>
      </w:pPr>
      <w:r>
        <w:rPr>
          <w:rFonts w:hint="eastAsia" w:ascii="微软雅黑" w:hAnsi="微软雅黑" w:cs="微软雅黑"/>
          <w:b/>
          <w:bCs/>
          <w:color w:val="FF0000"/>
          <w:sz w:val="24"/>
          <w:szCs w:val="32"/>
          <w:lang w:val="en-US" w:eastAsia="zh-CN"/>
        </w:rPr>
        <w:t>3、报价（单价）包含创意费、制作费、人工费、利润、所有人员报酬、管理费、税金等一切相关费用。</w:t>
      </w:r>
    </w:p>
    <w:p>
      <w:pPr>
        <w:spacing w:after="0"/>
        <w:jc w:val="both"/>
        <w:rPr>
          <w:color w:val="C00000"/>
          <w:sz w:val="20"/>
          <w:szCs w:val="21"/>
        </w:rPr>
      </w:pPr>
    </w:p>
    <w:sectPr>
      <w:headerReference r:id="rId4" w:type="default"/>
      <w:pgSz w:w="11906" w:h="16838"/>
      <w:pgMar w:top="1440" w:right="1800" w:bottom="1440" w:left="1800" w:header="708" w:footer="708" w:gutter="0"/>
      <w:pgBorders>
        <w:top w:val="none" w:sz="0" w:space="0"/>
        <w:left w:val="none" w:sz="0" w:space="0"/>
        <w:bottom w:val="none" w:sz="0" w:space="0"/>
        <w:right w:val="none" w:sz="0" w:space="0"/>
      </w:pgBorders>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542730"/>
    <w:multiLevelType w:val="singleLevel"/>
    <w:tmpl w:val="AF542730"/>
    <w:lvl w:ilvl="0" w:tentative="0">
      <w:start w:val="4"/>
      <w:numFmt w:val="decimal"/>
      <w:suff w:val="nothing"/>
      <w:lvlText w:val="%1、"/>
      <w:lvlJc w:val="left"/>
    </w:lvl>
  </w:abstractNum>
  <w:abstractNum w:abstractNumId="1">
    <w:nsid w:val="0640EC51"/>
    <w:multiLevelType w:val="singleLevel"/>
    <w:tmpl w:val="0640EC51"/>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xZGIxZTY3NzI0YzlkNGUzNzQ5MTE5MWU5MDJhZGMifQ=="/>
  </w:docVars>
  <w:rsids>
    <w:rsidRoot w:val="00D31D50"/>
    <w:rsid w:val="00023EF4"/>
    <w:rsid w:val="00026009"/>
    <w:rsid w:val="00036FEE"/>
    <w:rsid w:val="0005775F"/>
    <w:rsid w:val="00070703"/>
    <w:rsid w:val="000855A4"/>
    <w:rsid w:val="000B3B4E"/>
    <w:rsid w:val="000C1459"/>
    <w:rsid w:val="000E1D1B"/>
    <w:rsid w:val="001B2C94"/>
    <w:rsid w:val="001F147A"/>
    <w:rsid w:val="001F40BC"/>
    <w:rsid w:val="00210615"/>
    <w:rsid w:val="00231FDF"/>
    <w:rsid w:val="00306D25"/>
    <w:rsid w:val="00323B43"/>
    <w:rsid w:val="00371FE2"/>
    <w:rsid w:val="00390904"/>
    <w:rsid w:val="003C20CF"/>
    <w:rsid w:val="003D37D8"/>
    <w:rsid w:val="003F0F4C"/>
    <w:rsid w:val="00425243"/>
    <w:rsid w:val="00426133"/>
    <w:rsid w:val="004358AB"/>
    <w:rsid w:val="004731F0"/>
    <w:rsid w:val="004C0457"/>
    <w:rsid w:val="004C2B84"/>
    <w:rsid w:val="0053431B"/>
    <w:rsid w:val="005C366C"/>
    <w:rsid w:val="00661277"/>
    <w:rsid w:val="006E1F27"/>
    <w:rsid w:val="007238C6"/>
    <w:rsid w:val="00824470"/>
    <w:rsid w:val="00864E6E"/>
    <w:rsid w:val="00871B5E"/>
    <w:rsid w:val="008B7726"/>
    <w:rsid w:val="008D4768"/>
    <w:rsid w:val="008D6052"/>
    <w:rsid w:val="00950940"/>
    <w:rsid w:val="00962E35"/>
    <w:rsid w:val="00983618"/>
    <w:rsid w:val="009E0608"/>
    <w:rsid w:val="009E2A54"/>
    <w:rsid w:val="00A20087"/>
    <w:rsid w:val="00AC5F3B"/>
    <w:rsid w:val="00AD1110"/>
    <w:rsid w:val="00B1286D"/>
    <w:rsid w:val="00B51B63"/>
    <w:rsid w:val="00B74E4B"/>
    <w:rsid w:val="00BF3099"/>
    <w:rsid w:val="00C065D8"/>
    <w:rsid w:val="00C565C0"/>
    <w:rsid w:val="00C66C8E"/>
    <w:rsid w:val="00CB7416"/>
    <w:rsid w:val="00D0463C"/>
    <w:rsid w:val="00D16347"/>
    <w:rsid w:val="00D31D50"/>
    <w:rsid w:val="00D460B2"/>
    <w:rsid w:val="00E1050E"/>
    <w:rsid w:val="00E46D0E"/>
    <w:rsid w:val="00E67713"/>
    <w:rsid w:val="00E74DA7"/>
    <w:rsid w:val="00E841C9"/>
    <w:rsid w:val="00E8604A"/>
    <w:rsid w:val="00EC1B95"/>
    <w:rsid w:val="00F01923"/>
    <w:rsid w:val="00F0562E"/>
    <w:rsid w:val="00F056A7"/>
    <w:rsid w:val="00F07C60"/>
    <w:rsid w:val="00F111E9"/>
    <w:rsid w:val="00F215BC"/>
    <w:rsid w:val="00F548F2"/>
    <w:rsid w:val="00F5755D"/>
    <w:rsid w:val="00FE6988"/>
    <w:rsid w:val="00FF0101"/>
    <w:rsid w:val="01714C1C"/>
    <w:rsid w:val="01BF08D2"/>
    <w:rsid w:val="01DA025A"/>
    <w:rsid w:val="0274576D"/>
    <w:rsid w:val="02E70C9E"/>
    <w:rsid w:val="03195C21"/>
    <w:rsid w:val="033D1E6E"/>
    <w:rsid w:val="04271889"/>
    <w:rsid w:val="04343438"/>
    <w:rsid w:val="04AE46AB"/>
    <w:rsid w:val="04CE27C6"/>
    <w:rsid w:val="05330B6E"/>
    <w:rsid w:val="055156F9"/>
    <w:rsid w:val="055B74A1"/>
    <w:rsid w:val="05A92540"/>
    <w:rsid w:val="05F36612"/>
    <w:rsid w:val="06CF231E"/>
    <w:rsid w:val="06FD60FE"/>
    <w:rsid w:val="075E0026"/>
    <w:rsid w:val="079639D3"/>
    <w:rsid w:val="081A53F8"/>
    <w:rsid w:val="08EE4B4E"/>
    <w:rsid w:val="08F809A3"/>
    <w:rsid w:val="09054838"/>
    <w:rsid w:val="09392C75"/>
    <w:rsid w:val="09527DED"/>
    <w:rsid w:val="0A23156F"/>
    <w:rsid w:val="0A5D4560"/>
    <w:rsid w:val="0A8833D7"/>
    <w:rsid w:val="0C384E64"/>
    <w:rsid w:val="0C3E7C87"/>
    <w:rsid w:val="0C750600"/>
    <w:rsid w:val="0C89096E"/>
    <w:rsid w:val="0C9D210B"/>
    <w:rsid w:val="0CF878D1"/>
    <w:rsid w:val="0D206811"/>
    <w:rsid w:val="0DD92916"/>
    <w:rsid w:val="0E0E7F93"/>
    <w:rsid w:val="0E510B2C"/>
    <w:rsid w:val="0E664649"/>
    <w:rsid w:val="0F200407"/>
    <w:rsid w:val="0F465078"/>
    <w:rsid w:val="0F650CF0"/>
    <w:rsid w:val="0F7B6C4F"/>
    <w:rsid w:val="0FF80089"/>
    <w:rsid w:val="0FFF7F8C"/>
    <w:rsid w:val="10014461"/>
    <w:rsid w:val="10244AC2"/>
    <w:rsid w:val="103F3F4E"/>
    <w:rsid w:val="110129E4"/>
    <w:rsid w:val="11050158"/>
    <w:rsid w:val="1119387C"/>
    <w:rsid w:val="11236DDA"/>
    <w:rsid w:val="11786BA9"/>
    <w:rsid w:val="12104ECE"/>
    <w:rsid w:val="1278120A"/>
    <w:rsid w:val="129F5BC6"/>
    <w:rsid w:val="12B31D95"/>
    <w:rsid w:val="13A43158"/>
    <w:rsid w:val="144A1421"/>
    <w:rsid w:val="14581752"/>
    <w:rsid w:val="14AD6BBF"/>
    <w:rsid w:val="14B74E9B"/>
    <w:rsid w:val="15482FCD"/>
    <w:rsid w:val="155A516B"/>
    <w:rsid w:val="15745BD0"/>
    <w:rsid w:val="15F53B89"/>
    <w:rsid w:val="1669418B"/>
    <w:rsid w:val="170230B5"/>
    <w:rsid w:val="17EC1D0D"/>
    <w:rsid w:val="17F430EF"/>
    <w:rsid w:val="18744B5F"/>
    <w:rsid w:val="189C3C87"/>
    <w:rsid w:val="19010985"/>
    <w:rsid w:val="192736A7"/>
    <w:rsid w:val="19B4021B"/>
    <w:rsid w:val="19CC2C42"/>
    <w:rsid w:val="19DD7C31"/>
    <w:rsid w:val="1B013EE5"/>
    <w:rsid w:val="1B25004D"/>
    <w:rsid w:val="1B422A53"/>
    <w:rsid w:val="1B777ED8"/>
    <w:rsid w:val="1BC12510"/>
    <w:rsid w:val="1C745286"/>
    <w:rsid w:val="1C9E6DBE"/>
    <w:rsid w:val="1CBF2FF6"/>
    <w:rsid w:val="1CE17F3C"/>
    <w:rsid w:val="1CE6339B"/>
    <w:rsid w:val="1D5F3F8A"/>
    <w:rsid w:val="1D7323C4"/>
    <w:rsid w:val="1E2175D8"/>
    <w:rsid w:val="1E2D3D2C"/>
    <w:rsid w:val="1E7817F1"/>
    <w:rsid w:val="1E7B08A2"/>
    <w:rsid w:val="1EA31C42"/>
    <w:rsid w:val="1EB1278C"/>
    <w:rsid w:val="1F4376C5"/>
    <w:rsid w:val="1F4524DD"/>
    <w:rsid w:val="1F5713B7"/>
    <w:rsid w:val="1F6A7D32"/>
    <w:rsid w:val="1F703624"/>
    <w:rsid w:val="20D87297"/>
    <w:rsid w:val="212E6A33"/>
    <w:rsid w:val="21E808ED"/>
    <w:rsid w:val="22934376"/>
    <w:rsid w:val="229C3A51"/>
    <w:rsid w:val="22A20FD2"/>
    <w:rsid w:val="234A09D7"/>
    <w:rsid w:val="236B53D9"/>
    <w:rsid w:val="23A75428"/>
    <w:rsid w:val="23AF606B"/>
    <w:rsid w:val="23F110F3"/>
    <w:rsid w:val="242D61EC"/>
    <w:rsid w:val="2497108C"/>
    <w:rsid w:val="25725350"/>
    <w:rsid w:val="259C23DE"/>
    <w:rsid w:val="25F56C43"/>
    <w:rsid w:val="261350AB"/>
    <w:rsid w:val="26C95F67"/>
    <w:rsid w:val="26EA1D17"/>
    <w:rsid w:val="270470D9"/>
    <w:rsid w:val="276E0537"/>
    <w:rsid w:val="27EE3EBE"/>
    <w:rsid w:val="28384B9A"/>
    <w:rsid w:val="284A6772"/>
    <w:rsid w:val="288B62C1"/>
    <w:rsid w:val="29625F4D"/>
    <w:rsid w:val="29D01E54"/>
    <w:rsid w:val="29DA2EAA"/>
    <w:rsid w:val="2A8E3E0E"/>
    <w:rsid w:val="2A903EF0"/>
    <w:rsid w:val="2B552A2E"/>
    <w:rsid w:val="2B707AB8"/>
    <w:rsid w:val="2BB10BE3"/>
    <w:rsid w:val="2BB97DC8"/>
    <w:rsid w:val="2BC01B2B"/>
    <w:rsid w:val="2C177C02"/>
    <w:rsid w:val="2C212B94"/>
    <w:rsid w:val="2C2C5865"/>
    <w:rsid w:val="2C492B0A"/>
    <w:rsid w:val="2C666C89"/>
    <w:rsid w:val="2C9763A4"/>
    <w:rsid w:val="2C9A7C3E"/>
    <w:rsid w:val="2D3464C3"/>
    <w:rsid w:val="2D776E0D"/>
    <w:rsid w:val="2EDD6AEE"/>
    <w:rsid w:val="2F1B1ACE"/>
    <w:rsid w:val="2F592B29"/>
    <w:rsid w:val="2FEA6BB4"/>
    <w:rsid w:val="2FFB4054"/>
    <w:rsid w:val="305B00B1"/>
    <w:rsid w:val="30FB5C1F"/>
    <w:rsid w:val="31113309"/>
    <w:rsid w:val="311C2D5D"/>
    <w:rsid w:val="314D4794"/>
    <w:rsid w:val="31847187"/>
    <w:rsid w:val="31D345A5"/>
    <w:rsid w:val="322A14FF"/>
    <w:rsid w:val="32370769"/>
    <w:rsid w:val="32410A81"/>
    <w:rsid w:val="326C7E80"/>
    <w:rsid w:val="33297F39"/>
    <w:rsid w:val="33BB620A"/>
    <w:rsid w:val="34855BC0"/>
    <w:rsid w:val="349961E8"/>
    <w:rsid w:val="34B05525"/>
    <w:rsid w:val="3524383B"/>
    <w:rsid w:val="352449F2"/>
    <w:rsid w:val="35314C4F"/>
    <w:rsid w:val="354C003E"/>
    <w:rsid w:val="35616368"/>
    <w:rsid w:val="356B7B4B"/>
    <w:rsid w:val="35850BE4"/>
    <w:rsid w:val="35C80BB4"/>
    <w:rsid w:val="35EF0F11"/>
    <w:rsid w:val="363D62A3"/>
    <w:rsid w:val="36D57247"/>
    <w:rsid w:val="36E66395"/>
    <w:rsid w:val="377511C9"/>
    <w:rsid w:val="383B4FCB"/>
    <w:rsid w:val="39223739"/>
    <w:rsid w:val="39A60C87"/>
    <w:rsid w:val="39B04A72"/>
    <w:rsid w:val="39B75C7C"/>
    <w:rsid w:val="3A37384A"/>
    <w:rsid w:val="3A6369F5"/>
    <w:rsid w:val="3A8144B3"/>
    <w:rsid w:val="3AD15AA5"/>
    <w:rsid w:val="3B0002A0"/>
    <w:rsid w:val="3C93350F"/>
    <w:rsid w:val="3CB757B2"/>
    <w:rsid w:val="3D2E63F5"/>
    <w:rsid w:val="3D3C77EA"/>
    <w:rsid w:val="3DB917D1"/>
    <w:rsid w:val="3E2C2630"/>
    <w:rsid w:val="3E4A2D43"/>
    <w:rsid w:val="3E6B2DB5"/>
    <w:rsid w:val="3E81293D"/>
    <w:rsid w:val="3F151C84"/>
    <w:rsid w:val="3F63053E"/>
    <w:rsid w:val="3F6D7BB5"/>
    <w:rsid w:val="3F8513F4"/>
    <w:rsid w:val="3FE13309"/>
    <w:rsid w:val="409F00B6"/>
    <w:rsid w:val="40E74836"/>
    <w:rsid w:val="40E92395"/>
    <w:rsid w:val="419A7F5F"/>
    <w:rsid w:val="424F46F8"/>
    <w:rsid w:val="425F732B"/>
    <w:rsid w:val="42832464"/>
    <w:rsid w:val="436E067F"/>
    <w:rsid w:val="437E6D22"/>
    <w:rsid w:val="43845EC2"/>
    <w:rsid w:val="441D7053"/>
    <w:rsid w:val="44530178"/>
    <w:rsid w:val="44D827B2"/>
    <w:rsid w:val="45150F66"/>
    <w:rsid w:val="453C3BB1"/>
    <w:rsid w:val="45465CE0"/>
    <w:rsid w:val="455128B1"/>
    <w:rsid w:val="457B52E9"/>
    <w:rsid w:val="46583406"/>
    <w:rsid w:val="46641CC0"/>
    <w:rsid w:val="46E67013"/>
    <w:rsid w:val="475952C4"/>
    <w:rsid w:val="475C524B"/>
    <w:rsid w:val="47876969"/>
    <w:rsid w:val="478E4074"/>
    <w:rsid w:val="47991AF6"/>
    <w:rsid w:val="47A724C5"/>
    <w:rsid w:val="47B516D6"/>
    <w:rsid w:val="48006C74"/>
    <w:rsid w:val="491E4888"/>
    <w:rsid w:val="49E229FC"/>
    <w:rsid w:val="49FF4521"/>
    <w:rsid w:val="4A7671FD"/>
    <w:rsid w:val="4AE71845"/>
    <w:rsid w:val="4B877EC6"/>
    <w:rsid w:val="4B90150E"/>
    <w:rsid w:val="4BA51320"/>
    <w:rsid w:val="4CD50101"/>
    <w:rsid w:val="4D13731D"/>
    <w:rsid w:val="4D771A85"/>
    <w:rsid w:val="4D987E03"/>
    <w:rsid w:val="4E012BE6"/>
    <w:rsid w:val="4E2738AE"/>
    <w:rsid w:val="4E6D3230"/>
    <w:rsid w:val="4E7675E7"/>
    <w:rsid w:val="4F375C65"/>
    <w:rsid w:val="4F3A45F0"/>
    <w:rsid w:val="4F4C436E"/>
    <w:rsid w:val="500152CB"/>
    <w:rsid w:val="512F1952"/>
    <w:rsid w:val="516160CB"/>
    <w:rsid w:val="516E25F2"/>
    <w:rsid w:val="51F97D7E"/>
    <w:rsid w:val="5201260D"/>
    <w:rsid w:val="523D3EC5"/>
    <w:rsid w:val="52AE272E"/>
    <w:rsid w:val="530C631F"/>
    <w:rsid w:val="53F12573"/>
    <w:rsid w:val="541C7066"/>
    <w:rsid w:val="54594466"/>
    <w:rsid w:val="54AC2A6A"/>
    <w:rsid w:val="54AF0399"/>
    <w:rsid w:val="54BA3B92"/>
    <w:rsid w:val="54F43ECD"/>
    <w:rsid w:val="553B0E10"/>
    <w:rsid w:val="55407BE2"/>
    <w:rsid w:val="55524FCC"/>
    <w:rsid w:val="56B1291A"/>
    <w:rsid w:val="56CA51A1"/>
    <w:rsid w:val="56FE2574"/>
    <w:rsid w:val="57292EAC"/>
    <w:rsid w:val="574364B7"/>
    <w:rsid w:val="57DD59E0"/>
    <w:rsid w:val="58382B00"/>
    <w:rsid w:val="58403763"/>
    <w:rsid w:val="58657C48"/>
    <w:rsid w:val="58783F21"/>
    <w:rsid w:val="58D71DF2"/>
    <w:rsid w:val="598D151E"/>
    <w:rsid w:val="59F1730F"/>
    <w:rsid w:val="5A3A4DBA"/>
    <w:rsid w:val="5A695E19"/>
    <w:rsid w:val="5AE277CB"/>
    <w:rsid w:val="5AE756D7"/>
    <w:rsid w:val="5BD13F38"/>
    <w:rsid w:val="5C461707"/>
    <w:rsid w:val="5C781D97"/>
    <w:rsid w:val="5CAF37A0"/>
    <w:rsid w:val="5CF85B72"/>
    <w:rsid w:val="5D190A89"/>
    <w:rsid w:val="5DB20323"/>
    <w:rsid w:val="5DC963FF"/>
    <w:rsid w:val="5E432F77"/>
    <w:rsid w:val="5E536122"/>
    <w:rsid w:val="5E617DD4"/>
    <w:rsid w:val="5EAF7742"/>
    <w:rsid w:val="5EC11D12"/>
    <w:rsid w:val="5EC128D7"/>
    <w:rsid w:val="5ED278C7"/>
    <w:rsid w:val="5F741474"/>
    <w:rsid w:val="5FB123AD"/>
    <w:rsid w:val="605958A9"/>
    <w:rsid w:val="607D6E75"/>
    <w:rsid w:val="60E85963"/>
    <w:rsid w:val="61002A35"/>
    <w:rsid w:val="61245EA2"/>
    <w:rsid w:val="6213351D"/>
    <w:rsid w:val="62865E9A"/>
    <w:rsid w:val="62A824FE"/>
    <w:rsid w:val="62F82E3C"/>
    <w:rsid w:val="637A7763"/>
    <w:rsid w:val="64E97772"/>
    <w:rsid w:val="64EE7129"/>
    <w:rsid w:val="64FF0832"/>
    <w:rsid w:val="652527AF"/>
    <w:rsid w:val="6530528B"/>
    <w:rsid w:val="657541FD"/>
    <w:rsid w:val="65A4153D"/>
    <w:rsid w:val="66A9687E"/>
    <w:rsid w:val="67DD5230"/>
    <w:rsid w:val="680577D0"/>
    <w:rsid w:val="686A17F1"/>
    <w:rsid w:val="68FC1EC3"/>
    <w:rsid w:val="69060969"/>
    <w:rsid w:val="693F414D"/>
    <w:rsid w:val="696E063A"/>
    <w:rsid w:val="69840199"/>
    <w:rsid w:val="6A51094F"/>
    <w:rsid w:val="6AF578DC"/>
    <w:rsid w:val="6AFB6C2F"/>
    <w:rsid w:val="6CAF75A7"/>
    <w:rsid w:val="6D541397"/>
    <w:rsid w:val="6D5F3087"/>
    <w:rsid w:val="6D7A2C00"/>
    <w:rsid w:val="6DD008C8"/>
    <w:rsid w:val="6E312B3A"/>
    <w:rsid w:val="6ED82F3D"/>
    <w:rsid w:val="6EEC5D0C"/>
    <w:rsid w:val="6F2332EF"/>
    <w:rsid w:val="6FC43670"/>
    <w:rsid w:val="712416B3"/>
    <w:rsid w:val="71C16E13"/>
    <w:rsid w:val="7268304B"/>
    <w:rsid w:val="72A741DD"/>
    <w:rsid w:val="732B6B9A"/>
    <w:rsid w:val="739D0BFC"/>
    <w:rsid w:val="739D7404"/>
    <w:rsid w:val="73BE5B5D"/>
    <w:rsid w:val="74030664"/>
    <w:rsid w:val="74537A34"/>
    <w:rsid w:val="745B25D0"/>
    <w:rsid w:val="746566F5"/>
    <w:rsid w:val="754D59C1"/>
    <w:rsid w:val="75782706"/>
    <w:rsid w:val="75F03A45"/>
    <w:rsid w:val="763D2ED1"/>
    <w:rsid w:val="76600460"/>
    <w:rsid w:val="76FD499E"/>
    <w:rsid w:val="77623CA0"/>
    <w:rsid w:val="78AC0506"/>
    <w:rsid w:val="78AE046F"/>
    <w:rsid w:val="79684151"/>
    <w:rsid w:val="797125F5"/>
    <w:rsid w:val="79764F8F"/>
    <w:rsid w:val="79AD38E6"/>
    <w:rsid w:val="79D43722"/>
    <w:rsid w:val="79FC72F0"/>
    <w:rsid w:val="7A6E58D0"/>
    <w:rsid w:val="7B2D2DA9"/>
    <w:rsid w:val="7CDD6B98"/>
    <w:rsid w:val="7CF246C0"/>
    <w:rsid w:val="7E106401"/>
    <w:rsid w:val="7E6917F0"/>
    <w:rsid w:val="7E8102BA"/>
    <w:rsid w:val="7EA76FC3"/>
    <w:rsid w:val="7F130772"/>
    <w:rsid w:val="7F3261E5"/>
    <w:rsid w:val="7FDD5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正文 New"/>
    <w:qFormat/>
    <w:uiPriority w:val="0"/>
    <w:pPr>
      <w:widowControl w:val="0"/>
      <w:jc w:val="both"/>
    </w:pPr>
    <w:rPr>
      <w:rFonts w:ascii="Times New Roman" w:hAnsi="Times New Roman" w:eastAsia="宋体" w:cs="Times New Roman"/>
      <w:kern w:val="2"/>
      <w:sz w:val="21"/>
      <w:lang w:val="en-US" w:eastAsia="zh-CN"/>
    </w:rPr>
  </w:style>
  <w:style w:type="paragraph" w:styleId="3">
    <w:name w:val="Body Text"/>
    <w:basedOn w:val="1"/>
    <w:unhideWhenUsed/>
    <w:qFormat/>
    <w:uiPriority w:val="99"/>
    <w:pPr>
      <w:spacing w:after="120"/>
    </w:pPr>
    <w:rPr>
      <w:rFonts w:ascii="Times New Roman" w:hAnsi="Times New Roman" w:eastAsia="宋体" w:cs="Times New Roman"/>
      <w:szCs w:val="24"/>
    </w:rPr>
  </w:style>
  <w:style w:type="paragraph" w:styleId="4">
    <w:name w:val="Body Text Indent"/>
    <w:basedOn w:val="1"/>
    <w:qFormat/>
    <w:uiPriority w:val="0"/>
    <w:pPr>
      <w:ind w:firstLine="645"/>
    </w:pPr>
    <w:rPr>
      <w:rFonts w:ascii="Arial" w:hAnsi="Arial" w:eastAsia="仿宋_GB2312"/>
      <w:sz w:val="28"/>
    </w:rPr>
  </w:style>
  <w:style w:type="paragraph" w:styleId="5">
    <w:name w:val="Balloon Text"/>
    <w:basedOn w:val="1"/>
    <w:link w:val="14"/>
    <w:unhideWhenUsed/>
    <w:qFormat/>
    <w:uiPriority w:val="99"/>
    <w:pPr>
      <w:spacing w:after="0"/>
    </w:pPr>
    <w:rPr>
      <w:sz w:val="18"/>
      <w:szCs w:val="18"/>
    </w:rPr>
  </w:style>
  <w:style w:type="paragraph" w:styleId="6">
    <w:name w:val="footer"/>
    <w:basedOn w:val="1"/>
    <w:link w:val="13"/>
    <w:unhideWhenUsed/>
    <w:qFormat/>
    <w:uiPriority w:val="99"/>
    <w:pPr>
      <w:tabs>
        <w:tab w:val="center" w:pos="4153"/>
        <w:tab w:val="right" w:pos="8306"/>
      </w:tabs>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jc w:val="center"/>
    </w:pPr>
    <w:rPr>
      <w:sz w:val="18"/>
      <w:szCs w:val="18"/>
    </w:rPr>
  </w:style>
  <w:style w:type="paragraph" w:styleId="8">
    <w:name w:val="Body Text First Indent 2"/>
    <w:basedOn w:val="4"/>
    <w:qFormat/>
    <w:uiPriority w:val="0"/>
    <w:pPr>
      <w:ind w:firstLine="420" w:firstLineChars="200"/>
    </w:pPr>
    <w:rPr>
      <w:rFonts w:ascii="仿宋_GB2312"/>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Char"/>
    <w:basedOn w:val="11"/>
    <w:link w:val="7"/>
    <w:qFormat/>
    <w:uiPriority w:val="99"/>
    <w:rPr>
      <w:rFonts w:ascii="Tahoma" w:hAnsi="Tahoma"/>
      <w:sz w:val="18"/>
      <w:szCs w:val="18"/>
    </w:rPr>
  </w:style>
  <w:style w:type="character" w:customStyle="1" w:styleId="13">
    <w:name w:val="页脚 Char"/>
    <w:basedOn w:val="11"/>
    <w:link w:val="6"/>
    <w:semiHidden/>
    <w:qFormat/>
    <w:uiPriority w:val="99"/>
    <w:rPr>
      <w:rFonts w:ascii="Tahoma" w:hAnsi="Tahoma"/>
      <w:sz w:val="18"/>
      <w:szCs w:val="18"/>
    </w:rPr>
  </w:style>
  <w:style w:type="character" w:customStyle="1" w:styleId="14">
    <w:name w:val="批注框文本 Char"/>
    <w:basedOn w:val="11"/>
    <w:link w:val="5"/>
    <w:semiHidden/>
    <w:qFormat/>
    <w:uiPriority w:val="99"/>
    <w:rPr>
      <w:rFonts w:ascii="Tahoma" w:hAnsi="Tahoma"/>
      <w:sz w:val="18"/>
      <w:szCs w:val="18"/>
    </w:rPr>
  </w:style>
  <w:style w:type="paragraph" w:customStyle="1" w:styleId="15">
    <w:name w:val="列出段落1"/>
    <w:basedOn w:val="1"/>
    <w:qFormat/>
    <w:uiPriority w:val="0"/>
    <w:pPr>
      <w:ind w:firstLine="420" w:firstLineChars="200"/>
    </w:pPr>
  </w:style>
  <w:style w:type="paragraph" w:styleId="16">
    <w:name w:val="List Paragraph"/>
    <w:basedOn w:val="1"/>
    <w:unhideWhenUsed/>
    <w:qFormat/>
    <w:uiPriority w:val="99"/>
    <w:pPr>
      <w:ind w:firstLine="420" w:firstLineChars="200"/>
    </w:pPr>
  </w:style>
  <w:style w:type="character" w:customStyle="1" w:styleId="17">
    <w:name w:val="font51"/>
    <w:basedOn w:val="11"/>
    <w:qFormat/>
    <w:uiPriority w:val="0"/>
    <w:rPr>
      <w:rFonts w:hint="eastAsia" w:ascii="微软雅黑" w:hAnsi="微软雅黑" w:eastAsia="微软雅黑" w:cs="微软雅黑"/>
      <w:color w:val="FF0000"/>
      <w:sz w:val="20"/>
      <w:szCs w:val="20"/>
      <w:u w:val="none"/>
    </w:rPr>
  </w:style>
  <w:style w:type="character" w:customStyle="1" w:styleId="18">
    <w:name w:val="font31"/>
    <w:basedOn w:val="11"/>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image" Target="media/image19.png"/><Relationship Id="rId23" Type="http://schemas.openxmlformats.org/officeDocument/2006/relationships/image" Target="media/image18.jpe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3298</Words>
  <Characters>3518</Characters>
  <Lines>15</Lines>
  <Paragraphs>4</Paragraphs>
  <TotalTime>11</TotalTime>
  <ScaleCrop>false</ScaleCrop>
  <LinksUpToDate>false</LinksUpToDate>
  <CharactersWithSpaces>3776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2018-01-10T04:11:00Z</dcterms:created>
  <dc:creator>123</dc:creator>
  <cp:lastModifiedBy>广乐传媒 姚伟</cp:lastModifiedBy>
  <cp:lastPrinted>2022-09-26T03:05:00Z</cp:lastPrinted>
  <dcterms:modified xsi:type="dcterms:W3CDTF">2022-10-28T02:02:17Z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_DocHome">
    <vt:i4>833650421</vt:i4>
  </property>
  <property fmtid="{D5CDD505-2E9C-101B-9397-08002B2CF9AE}" pid="4" name="ICV">
    <vt:lpwstr>3310AF620B70415496CD4CF290B2E747</vt:lpwstr>
  </property>
</Properties>
</file>