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199"/>
        <w:jc w:val="center"/>
        <w:outlineLvl w:val="0"/>
        <w:rPr>
          <w:rFonts w:hint="eastAsia" w:eastAsia="宋体"/>
          <w:b/>
          <w:sz w:val="44"/>
          <w:lang w:eastAsia="zh-CN"/>
        </w:rPr>
      </w:pPr>
      <w:r>
        <w:rPr>
          <w:rFonts w:hint="eastAsia"/>
          <w:b/>
          <w:sz w:val="44"/>
          <w:lang w:val="en-US" w:eastAsia="zh-CN"/>
        </w:rPr>
        <w:t>城建·世纪阳江（住宅部分）销售代理服务</w:t>
      </w:r>
    </w:p>
    <w:p>
      <w:pPr>
        <w:pStyle w:val="4"/>
        <w:rPr>
          <w:b/>
          <w:sz w:val="44"/>
        </w:rPr>
      </w:pPr>
    </w:p>
    <w:p>
      <w:pPr>
        <w:pStyle w:val="4"/>
        <w:rPr>
          <w:b/>
          <w:sz w:val="44"/>
        </w:rPr>
      </w:pPr>
    </w:p>
    <w:p>
      <w:pPr>
        <w:pStyle w:val="4"/>
        <w:spacing w:before="4"/>
        <w:rPr>
          <w:b/>
          <w:sz w:val="57"/>
        </w:rPr>
      </w:pPr>
    </w:p>
    <w:p>
      <w:pPr>
        <w:tabs>
          <w:tab w:val="left" w:pos="888"/>
          <w:tab w:val="left" w:pos="1771"/>
          <w:tab w:val="left" w:pos="2654"/>
        </w:tabs>
        <w:ind w:left="4"/>
        <w:jc w:val="center"/>
        <w:outlineLvl w:val="0"/>
        <w:rPr>
          <w:b/>
          <w:sz w:val="44"/>
        </w:rPr>
      </w:pPr>
      <w:r>
        <w:rPr>
          <w:b/>
          <w:sz w:val="44"/>
        </w:rPr>
        <w:t>招</w:t>
      </w:r>
    </w:p>
    <w:p>
      <w:pPr>
        <w:tabs>
          <w:tab w:val="left" w:pos="888"/>
          <w:tab w:val="left" w:pos="1771"/>
          <w:tab w:val="left" w:pos="2654"/>
        </w:tabs>
        <w:ind w:left="4"/>
        <w:jc w:val="center"/>
        <w:outlineLvl w:val="0"/>
        <w:rPr>
          <w:b/>
          <w:sz w:val="44"/>
        </w:rPr>
      </w:pPr>
      <w:r>
        <w:rPr>
          <w:b/>
          <w:sz w:val="44"/>
        </w:rPr>
        <w:tab/>
      </w:r>
    </w:p>
    <w:p>
      <w:pPr>
        <w:tabs>
          <w:tab w:val="left" w:pos="888"/>
          <w:tab w:val="left" w:pos="1771"/>
          <w:tab w:val="left" w:pos="2654"/>
        </w:tabs>
        <w:ind w:left="4"/>
        <w:jc w:val="center"/>
        <w:outlineLvl w:val="0"/>
        <w:rPr>
          <w:b/>
          <w:sz w:val="44"/>
        </w:rPr>
      </w:pPr>
      <w:r>
        <w:rPr>
          <w:b/>
          <w:sz w:val="44"/>
        </w:rPr>
        <w:t>标</w:t>
      </w:r>
    </w:p>
    <w:p>
      <w:pPr>
        <w:tabs>
          <w:tab w:val="left" w:pos="888"/>
          <w:tab w:val="left" w:pos="1771"/>
          <w:tab w:val="left" w:pos="2654"/>
        </w:tabs>
        <w:ind w:left="4"/>
        <w:jc w:val="center"/>
        <w:outlineLvl w:val="0"/>
        <w:rPr>
          <w:b/>
          <w:sz w:val="44"/>
        </w:rPr>
      </w:pPr>
      <w:r>
        <w:rPr>
          <w:b/>
          <w:sz w:val="44"/>
        </w:rPr>
        <w:tab/>
      </w:r>
    </w:p>
    <w:p>
      <w:pPr>
        <w:tabs>
          <w:tab w:val="left" w:pos="888"/>
          <w:tab w:val="left" w:pos="1771"/>
          <w:tab w:val="left" w:pos="2654"/>
        </w:tabs>
        <w:ind w:left="4"/>
        <w:jc w:val="center"/>
        <w:outlineLvl w:val="0"/>
        <w:rPr>
          <w:b/>
          <w:sz w:val="44"/>
        </w:rPr>
      </w:pPr>
      <w:r>
        <w:rPr>
          <w:b/>
          <w:sz w:val="44"/>
        </w:rPr>
        <w:t>文</w:t>
      </w:r>
    </w:p>
    <w:p>
      <w:pPr>
        <w:tabs>
          <w:tab w:val="left" w:pos="888"/>
          <w:tab w:val="left" w:pos="1771"/>
          <w:tab w:val="left" w:pos="2654"/>
        </w:tabs>
        <w:ind w:left="4"/>
        <w:jc w:val="center"/>
        <w:outlineLvl w:val="0"/>
        <w:rPr>
          <w:b/>
          <w:sz w:val="44"/>
        </w:rPr>
      </w:pPr>
      <w:r>
        <w:rPr>
          <w:b/>
          <w:sz w:val="44"/>
        </w:rPr>
        <w:tab/>
      </w:r>
    </w:p>
    <w:p>
      <w:pPr>
        <w:tabs>
          <w:tab w:val="left" w:pos="888"/>
          <w:tab w:val="left" w:pos="1771"/>
          <w:tab w:val="left" w:pos="2654"/>
        </w:tabs>
        <w:ind w:left="4"/>
        <w:jc w:val="center"/>
        <w:outlineLvl w:val="0"/>
        <w:rPr>
          <w:b/>
          <w:sz w:val="44"/>
        </w:rPr>
      </w:pPr>
      <w:r>
        <w:rPr>
          <w:b/>
          <w:sz w:val="44"/>
        </w:rPr>
        <w:t>件</w:t>
      </w:r>
    </w:p>
    <w:p>
      <w:pPr>
        <w:pStyle w:val="4"/>
        <w:rPr>
          <w:b/>
          <w:sz w:val="44"/>
        </w:rPr>
      </w:pPr>
    </w:p>
    <w:p>
      <w:pPr>
        <w:pStyle w:val="4"/>
        <w:rPr>
          <w:b/>
          <w:sz w:val="44"/>
        </w:rPr>
      </w:pPr>
    </w:p>
    <w:p>
      <w:pPr>
        <w:pStyle w:val="4"/>
        <w:rPr>
          <w:b/>
          <w:sz w:val="44"/>
        </w:rPr>
      </w:pPr>
    </w:p>
    <w:p>
      <w:pPr>
        <w:pStyle w:val="4"/>
        <w:rPr>
          <w:b/>
          <w:sz w:val="44"/>
        </w:rPr>
      </w:pPr>
    </w:p>
    <w:p>
      <w:pPr>
        <w:pStyle w:val="4"/>
        <w:rPr>
          <w:b/>
          <w:sz w:val="44"/>
        </w:rPr>
      </w:pPr>
    </w:p>
    <w:p>
      <w:pPr>
        <w:spacing w:before="285"/>
        <w:jc w:val="center"/>
        <w:outlineLvl w:val="0"/>
        <w:rPr>
          <w:rFonts w:hint="eastAsia" w:eastAsia="宋体"/>
          <w:b/>
          <w:sz w:val="28"/>
          <w:u w:val="single"/>
          <w:lang w:eastAsia="zh-CN"/>
        </w:rPr>
      </w:pPr>
      <w:r>
        <w:rPr>
          <w:b/>
          <w:sz w:val="28"/>
        </w:rPr>
        <w:t>招标人（</w:t>
      </w:r>
      <w:r>
        <w:rPr>
          <w:rFonts w:hint="eastAsia"/>
          <w:b/>
          <w:sz w:val="28"/>
          <w:lang w:val="en-US"/>
        </w:rPr>
        <w:t>公</w:t>
      </w:r>
      <w:r>
        <w:rPr>
          <w:b/>
          <w:sz w:val="28"/>
        </w:rPr>
        <w:t>章</w:t>
      </w:r>
      <w:r>
        <w:rPr>
          <w:rFonts w:hint="eastAsia"/>
          <w:b/>
          <w:sz w:val="28"/>
        </w:rPr>
        <w:t>）</w:t>
      </w:r>
      <w:r>
        <w:rPr>
          <w:rFonts w:hint="eastAsia"/>
          <w:b/>
          <w:sz w:val="28"/>
          <w:u w:val="single"/>
          <w:lang w:val="en-US" w:eastAsia="zh-CN"/>
        </w:rPr>
        <w:t>宣城城建房地产营销策划有限公司</w:t>
      </w:r>
    </w:p>
    <w:p>
      <w:pPr>
        <w:pStyle w:val="4"/>
        <w:rPr>
          <w:b/>
          <w:sz w:val="28"/>
        </w:rPr>
      </w:pPr>
    </w:p>
    <w:p>
      <w:pPr>
        <w:pStyle w:val="4"/>
        <w:spacing w:before="5"/>
        <w:rPr>
          <w:b/>
          <w:sz w:val="41"/>
        </w:rPr>
      </w:pPr>
    </w:p>
    <w:p>
      <w:pPr>
        <w:spacing w:before="1"/>
        <w:ind w:left="1544" w:right="1827"/>
        <w:jc w:val="center"/>
        <w:outlineLvl w:val="0"/>
        <w:rPr>
          <w:b/>
          <w:sz w:val="28"/>
        </w:rPr>
      </w:pPr>
      <w:r>
        <w:rPr>
          <w:rFonts w:hint="eastAsia"/>
          <w:b/>
          <w:sz w:val="28"/>
          <w:lang w:eastAsia="zh-CN"/>
        </w:rPr>
        <w:t>编</w:t>
      </w:r>
      <w:r>
        <w:rPr>
          <w:rFonts w:hint="eastAsia"/>
          <w:b/>
          <w:sz w:val="28"/>
          <w:lang w:val="en-US" w:eastAsia="zh-CN"/>
        </w:rPr>
        <w:t xml:space="preserve">  </w:t>
      </w:r>
      <w:r>
        <w:rPr>
          <w:rFonts w:hint="eastAsia"/>
          <w:b/>
          <w:sz w:val="28"/>
          <w:lang w:eastAsia="zh-CN"/>
        </w:rPr>
        <w:t>制</w:t>
      </w:r>
      <w:r>
        <w:rPr>
          <w:b/>
          <w:sz w:val="28"/>
        </w:rPr>
        <w:t xml:space="preserve"> 时 间：20</w:t>
      </w:r>
      <w:r>
        <w:rPr>
          <w:rFonts w:hint="eastAsia"/>
          <w:b/>
          <w:sz w:val="28"/>
          <w:lang w:val="en-US" w:eastAsia="zh-CN"/>
        </w:rPr>
        <w:t>21</w:t>
      </w:r>
      <w:r>
        <w:rPr>
          <w:b/>
          <w:sz w:val="28"/>
        </w:rPr>
        <w:t>年</w:t>
      </w:r>
      <w:r>
        <w:rPr>
          <w:rFonts w:hint="eastAsia"/>
          <w:b/>
          <w:sz w:val="28"/>
          <w:lang w:val="en-US" w:eastAsia="zh-CN"/>
        </w:rPr>
        <w:t>8</w:t>
      </w:r>
      <w:r>
        <w:rPr>
          <w:b/>
          <w:sz w:val="28"/>
        </w:rPr>
        <w:t>月</w:t>
      </w:r>
    </w:p>
    <w:p>
      <w:pPr>
        <w:jc w:val="center"/>
        <w:rPr>
          <w:b/>
          <w:bCs/>
          <w:sz w:val="28"/>
          <w:szCs w:val="28"/>
        </w:rPr>
      </w:pPr>
      <w:bookmarkStart w:id="0" w:name="_Toc9377_WPSOffice_Type2"/>
    </w:p>
    <w:bookmarkEnd w:id="0"/>
    <w:p>
      <w:pPr>
        <w:jc w:val="center"/>
        <w:rPr>
          <w:b/>
          <w:bCs/>
          <w:sz w:val="28"/>
          <w:szCs w:val="28"/>
          <w:lang w:val="en-US"/>
        </w:rPr>
      </w:pPr>
      <w:bookmarkStart w:id="1" w:name="_Toc1677_WPSOffice_Level1"/>
      <w:r>
        <w:rPr>
          <w:b/>
          <w:bCs/>
          <w:sz w:val="28"/>
          <w:szCs w:val="28"/>
        </w:rPr>
        <w:t>目录</w:t>
      </w:r>
      <w:r>
        <w:rPr>
          <w:rFonts w:hint="eastAsia"/>
          <w:b/>
          <w:bCs/>
          <w:sz w:val="28"/>
          <w:szCs w:val="28"/>
          <w:lang w:val="en-US"/>
        </w:rPr>
        <w:t xml:space="preserve"> </w:t>
      </w:r>
    </w:p>
    <w:p>
      <w:pPr>
        <w:pStyle w:val="15"/>
        <w:tabs>
          <w:tab w:val="right" w:leader="dot" w:pos="8306"/>
        </w:tabs>
        <w:spacing w:line="288" w:lineRule="auto"/>
      </w:pPr>
      <w:r>
        <w:fldChar w:fldCharType="begin"/>
      </w:r>
      <w:r>
        <w:instrText xml:space="preserve"> HYPERLINK \l "_Toc1677_WPSOffice_Level1" </w:instrText>
      </w:r>
      <w:r>
        <w:fldChar w:fldCharType="separate"/>
      </w:r>
      <w:r>
        <w:rPr>
          <w:rFonts w:hint="eastAsia" w:ascii="宋体" w:hAnsi="宋体" w:cs="宋体"/>
          <w:b/>
          <w:bCs/>
        </w:rPr>
        <w:t>第一章  招标文件</w:t>
      </w:r>
      <w:r>
        <w:rPr>
          <w:b/>
          <w:bCs/>
        </w:rPr>
        <w:tab/>
      </w:r>
      <w:r>
        <w:rPr>
          <w:rFonts w:hint="eastAsia"/>
          <w:b/>
          <w:bCs/>
        </w:rPr>
        <w:t>3</w:t>
      </w:r>
      <w:r>
        <w:rPr>
          <w:rFonts w:hint="eastAsia"/>
          <w:b/>
          <w:bCs/>
        </w:rPr>
        <w:fldChar w:fldCharType="end"/>
      </w:r>
    </w:p>
    <w:p>
      <w:pPr>
        <w:pStyle w:val="16"/>
        <w:tabs>
          <w:tab w:val="right" w:leader="dot" w:pos="8306"/>
        </w:tabs>
        <w:spacing w:line="288" w:lineRule="auto"/>
        <w:ind w:left="440"/>
      </w:pPr>
      <w:r>
        <w:fldChar w:fldCharType="begin"/>
      </w:r>
      <w:r>
        <w:instrText xml:space="preserve"> HYPERLINK \l "_Toc16860_WPSOffice_Level2" </w:instrText>
      </w:r>
      <w:r>
        <w:fldChar w:fldCharType="separate"/>
      </w:r>
      <w:r>
        <w:rPr>
          <w:rFonts w:hint="eastAsia" w:ascii="宋体" w:hAnsi="宋体" w:cs="宋体"/>
        </w:rPr>
        <w:t>一、招标文件的内容</w:t>
      </w:r>
      <w:r>
        <w:tab/>
      </w:r>
      <w:r>
        <w:rPr>
          <w:rFonts w:hint="eastAsia"/>
        </w:rPr>
        <w:t>3</w:t>
      </w:r>
      <w:r>
        <w:rPr>
          <w:rFonts w:hint="eastAsia"/>
        </w:rPr>
        <w:fldChar w:fldCharType="end"/>
      </w:r>
    </w:p>
    <w:p>
      <w:pPr>
        <w:pStyle w:val="16"/>
        <w:tabs>
          <w:tab w:val="right" w:leader="dot" w:pos="8306"/>
        </w:tabs>
        <w:spacing w:line="288" w:lineRule="auto"/>
        <w:ind w:left="440"/>
      </w:pPr>
      <w:r>
        <w:fldChar w:fldCharType="begin"/>
      </w:r>
      <w:r>
        <w:instrText xml:space="preserve"> HYPERLINK \l "_Toc18057_WPSOffice_Level2" </w:instrText>
      </w:r>
      <w:r>
        <w:fldChar w:fldCharType="separate"/>
      </w:r>
      <w:r>
        <w:rPr>
          <w:rFonts w:hint="eastAsia" w:ascii="宋体" w:hAnsi="宋体" w:cs="宋体"/>
        </w:rPr>
        <w:t>二、招标文件的澄清</w:t>
      </w:r>
      <w:r>
        <w:tab/>
      </w:r>
      <w:r>
        <w:rPr>
          <w:rFonts w:hint="eastAsia"/>
        </w:rPr>
        <w:t>3</w:t>
      </w:r>
      <w:r>
        <w:rPr>
          <w:rFonts w:hint="eastAsia"/>
        </w:rPr>
        <w:fldChar w:fldCharType="end"/>
      </w:r>
    </w:p>
    <w:p>
      <w:pPr>
        <w:pStyle w:val="16"/>
        <w:tabs>
          <w:tab w:val="right" w:leader="dot" w:pos="8306"/>
        </w:tabs>
        <w:spacing w:line="288" w:lineRule="auto"/>
        <w:ind w:left="440"/>
      </w:pPr>
      <w:r>
        <w:fldChar w:fldCharType="begin"/>
      </w:r>
      <w:r>
        <w:instrText xml:space="preserve"> HYPERLINK \l "_Toc18534_WPSOffice_Level2" </w:instrText>
      </w:r>
      <w:r>
        <w:fldChar w:fldCharType="separate"/>
      </w:r>
      <w:r>
        <w:rPr>
          <w:rFonts w:hint="eastAsia" w:ascii="宋体" w:hAnsi="宋体" w:cs="宋体"/>
        </w:rPr>
        <w:t>三、招标文件的修改</w:t>
      </w:r>
      <w:r>
        <w:tab/>
      </w:r>
      <w:r>
        <w:rPr>
          <w:rFonts w:hint="eastAsia"/>
        </w:rPr>
        <w:t>3</w:t>
      </w:r>
      <w:r>
        <w:rPr>
          <w:rFonts w:hint="eastAsia"/>
        </w:rPr>
        <w:fldChar w:fldCharType="end"/>
      </w:r>
    </w:p>
    <w:p>
      <w:pPr>
        <w:pStyle w:val="15"/>
        <w:tabs>
          <w:tab w:val="right" w:leader="dot" w:pos="8306"/>
        </w:tabs>
        <w:spacing w:line="288" w:lineRule="auto"/>
      </w:pPr>
      <w:r>
        <w:fldChar w:fldCharType="begin"/>
      </w:r>
      <w:r>
        <w:instrText xml:space="preserve"> HYPERLINK \l "_Toc14355_WPSOffice_Level1" </w:instrText>
      </w:r>
      <w:r>
        <w:fldChar w:fldCharType="separate"/>
      </w:r>
      <w:r>
        <w:rPr>
          <w:rFonts w:hint="eastAsia" w:ascii="宋体" w:hAnsi="宋体" w:cs="宋体"/>
          <w:b/>
          <w:bCs/>
        </w:rPr>
        <w:t>第二章  投标须知</w:t>
      </w:r>
      <w:r>
        <w:rPr>
          <w:b/>
          <w:bCs/>
        </w:rPr>
        <w:tab/>
      </w:r>
      <w:r>
        <w:rPr>
          <w:rFonts w:hint="eastAsia"/>
          <w:b/>
          <w:bCs/>
        </w:rPr>
        <w:t>4</w:t>
      </w:r>
      <w:r>
        <w:rPr>
          <w:rFonts w:hint="eastAsia"/>
          <w:b/>
          <w:bCs/>
        </w:rPr>
        <w:fldChar w:fldCharType="end"/>
      </w:r>
    </w:p>
    <w:p>
      <w:pPr>
        <w:pStyle w:val="16"/>
        <w:tabs>
          <w:tab w:val="right" w:leader="dot" w:pos="8306"/>
        </w:tabs>
        <w:spacing w:line="288" w:lineRule="auto"/>
        <w:ind w:left="440"/>
      </w:pPr>
      <w:r>
        <w:fldChar w:fldCharType="begin"/>
      </w:r>
      <w:r>
        <w:instrText xml:space="preserve"> HYPERLINK \l "_Toc23156_WPSOffice_Level2" </w:instrText>
      </w:r>
      <w:r>
        <w:fldChar w:fldCharType="separate"/>
      </w:r>
      <w:r>
        <w:rPr>
          <w:rFonts w:hint="eastAsia" w:ascii="宋体" w:hAnsi="宋体" w:cs="宋体"/>
        </w:rPr>
        <w:t>一、前附表</w:t>
      </w:r>
      <w:r>
        <w:tab/>
      </w:r>
      <w:r>
        <w:rPr>
          <w:rFonts w:hint="eastAsia"/>
        </w:rPr>
        <w:t>4</w:t>
      </w:r>
      <w:r>
        <w:rPr>
          <w:rFonts w:hint="eastAsia"/>
        </w:rPr>
        <w:fldChar w:fldCharType="end"/>
      </w:r>
    </w:p>
    <w:p>
      <w:pPr>
        <w:pStyle w:val="16"/>
        <w:tabs>
          <w:tab w:val="right" w:leader="dot" w:pos="8306"/>
        </w:tabs>
        <w:spacing w:line="288" w:lineRule="auto"/>
        <w:ind w:left="440"/>
      </w:pPr>
      <w:r>
        <w:fldChar w:fldCharType="begin"/>
      </w:r>
      <w:r>
        <w:instrText xml:space="preserve"> HYPERLINK \l "_Toc27528_WPSOffice_Level2" </w:instrText>
      </w:r>
      <w:r>
        <w:fldChar w:fldCharType="separate"/>
      </w:r>
      <w:r>
        <w:rPr>
          <w:rFonts w:hint="eastAsia" w:ascii="宋体" w:hAnsi="宋体" w:cs="宋体"/>
        </w:rPr>
        <w:t>二、定义</w:t>
      </w:r>
      <w:r>
        <w:tab/>
      </w:r>
      <w:r>
        <w:rPr>
          <w:rFonts w:hint="eastAsia"/>
          <w:lang w:val="en-US" w:eastAsia="zh-CN"/>
        </w:rPr>
        <w:t>4</w:t>
      </w:r>
      <w:r>
        <w:rPr>
          <w:rFonts w:hint="eastAsia"/>
        </w:rPr>
        <w:fldChar w:fldCharType="end"/>
      </w:r>
    </w:p>
    <w:p>
      <w:pPr>
        <w:pStyle w:val="16"/>
        <w:tabs>
          <w:tab w:val="right" w:leader="dot" w:pos="8306"/>
        </w:tabs>
        <w:spacing w:line="288" w:lineRule="auto"/>
        <w:ind w:left="440"/>
      </w:pPr>
      <w:r>
        <w:fldChar w:fldCharType="begin"/>
      </w:r>
      <w:r>
        <w:instrText xml:space="preserve"> HYPERLINK \l "_Toc10839_WPSOffice_Level2" </w:instrText>
      </w:r>
      <w:r>
        <w:fldChar w:fldCharType="separate"/>
      </w:r>
      <w:r>
        <w:rPr>
          <w:rFonts w:hint="eastAsia" w:ascii="宋体" w:hAnsi="宋体" w:cs="宋体"/>
        </w:rPr>
        <w:t>三、公司及项目概况</w:t>
      </w:r>
      <w:r>
        <w:tab/>
      </w:r>
      <w:r>
        <w:rPr>
          <w:rFonts w:hint="eastAsia"/>
        </w:rPr>
        <w:t>5</w:t>
      </w:r>
      <w:r>
        <w:rPr>
          <w:rFonts w:hint="eastAsia"/>
        </w:rPr>
        <w:fldChar w:fldCharType="end"/>
      </w:r>
    </w:p>
    <w:p>
      <w:pPr>
        <w:pStyle w:val="16"/>
        <w:tabs>
          <w:tab w:val="right" w:leader="dot" w:pos="8306"/>
        </w:tabs>
        <w:spacing w:line="288" w:lineRule="auto"/>
        <w:ind w:left="440"/>
      </w:pPr>
      <w:r>
        <w:fldChar w:fldCharType="begin"/>
      </w:r>
      <w:r>
        <w:instrText xml:space="preserve"> HYPERLINK \l "_Toc18361_WPSOffice_Level2" </w:instrText>
      </w:r>
      <w:r>
        <w:fldChar w:fldCharType="separate"/>
      </w:r>
      <w:r>
        <w:rPr>
          <w:rFonts w:hint="eastAsia" w:ascii="宋体" w:hAnsi="宋体" w:cs="宋体"/>
        </w:rPr>
        <w:t>四、投标单位条件</w:t>
      </w:r>
      <w:r>
        <w:tab/>
      </w:r>
      <w:r>
        <w:rPr>
          <w:rFonts w:hint="eastAsia"/>
        </w:rPr>
        <w:t>5</w:t>
      </w:r>
      <w:r>
        <w:rPr>
          <w:rFonts w:hint="eastAsia"/>
        </w:rPr>
        <w:fldChar w:fldCharType="end"/>
      </w:r>
    </w:p>
    <w:p>
      <w:pPr>
        <w:pStyle w:val="16"/>
        <w:tabs>
          <w:tab w:val="right" w:leader="dot" w:pos="8306"/>
        </w:tabs>
        <w:spacing w:line="288" w:lineRule="auto"/>
        <w:ind w:left="440"/>
      </w:pPr>
      <w:r>
        <w:fldChar w:fldCharType="begin"/>
      </w:r>
      <w:r>
        <w:instrText xml:space="preserve"> HYPERLINK \l "_Toc4695_WPSOffice_Level2" </w:instrText>
      </w:r>
      <w:r>
        <w:fldChar w:fldCharType="separate"/>
      </w:r>
      <w:r>
        <w:rPr>
          <w:rFonts w:hint="eastAsia" w:ascii="宋体" w:hAnsi="宋体" w:cs="宋体"/>
        </w:rPr>
        <w:t>五、投标费用</w:t>
      </w:r>
      <w:r>
        <w:tab/>
      </w:r>
      <w:r>
        <w:rPr>
          <w:rFonts w:hint="eastAsia"/>
        </w:rPr>
        <w:t>5</w:t>
      </w:r>
      <w:r>
        <w:rPr>
          <w:rFonts w:hint="eastAsia"/>
        </w:rPr>
        <w:fldChar w:fldCharType="end"/>
      </w:r>
    </w:p>
    <w:p>
      <w:pPr>
        <w:pStyle w:val="16"/>
        <w:tabs>
          <w:tab w:val="right" w:leader="dot" w:pos="8306"/>
        </w:tabs>
        <w:spacing w:line="288" w:lineRule="auto"/>
        <w:ind w:left="440"/>
        <w:rPr>
          <w:rFonts w:hint="eastAsia" w:eastAsia="宋体"/>
          <w:lang w:eastAsia="zh-CN"/>
        </w:rPr>
      </w:pPr>
      <w:r>
        <w:rPr>
          <w:rFonts w:hint="eastAsia"/>
        </w:rPr>
        <w:t>六、</w:t>
      </w:r>
      <w:r>
        <w:rPr>
          <w:rFonts w:hint="eastAsia"/>
          <w:lang w:eastAsia="zh-CN"/>
        </w:rPr>
        <w:t>销售</w:t>
      </w:r>
      <w:r>
        <w:rPr>
          <w:rFonts w:hint="eastAsia"/>
        </w:rPr>
        <w:t>代理佣金点数</w:t>
      </w:r>
      <w:r>
        <w:rPr>
          <w:rFonts w:hint="eastAsia"/>
          <w:lang w:eastAsia="zh-CN"/>
        </w:rPr>
        <w:t>限定</w:t>
      </w:r>
      <w:r>
        <w:rPr>
          <w:rFonts w:hint="eastAsia"/>
        </w:rPr>
        <w:t>............................................................................................................</w:t>
      </w:r>
      <w:r>
        <w:rPr>
          <w:rFonts w:hint="eastAsia"/>
          <w:lang w:val="en-US" w:eastAsia="zh-CN"/>
        </w:rPr>
        <w:t>5</w:t>
      </w:r>
    </w:p>
    <w:p>
      <w:pPr>
        <w:pStyle w:val="16"/>
        <w:tabs>
          <w:tab w:val="right" w:leader="dot" w:pos="8306"/>
        </w:tabs>
        <w:spacing w:line="288" w:lineRule="auto"/>
        <w:ind w:left="440"/>
      </w:pPr>
      <w:r>
        <w:rPr>
          <w:rFonts w:hint="eastAsia"/>
        </w:rPr>
        <w:t>七、代理佣金支付原则..................................................................................................................6</w:t>
      </w:r>
    </w:p>
    <w:p>
      <w:pPr>
        <w:pStyle w:val="16"/>
        <w:tabs>
          <w:tab w:val="right" w:leader="dot" w:pos="8306"/>
        </w:tabs>
        <w:spacing w:line="288" w:lineRule="auto"/>
        <w:ind w:left="440"/>
        <w:rPr>
          <w:rFonts w:hint="eastAsia" w:eastAsia="宋体"/>
          <w:lang w:eastAsia="zh-CN"/>
        </w:rPr>
      </w:pPr>
      <w:r>
        <w:rPr>
          <w:rFonts w:hint="eastAsia"/>
        </w:rPr>
        <w:t>八、销售违约责任..........................................................................................................................</w:t>
      </w:r>
      <w:r>
        <w:rPr>
          <w:rFonts w:hint="eastAsia"/>
          <w:lang w:val="en-US" w:eastAsia="zh-CN"/>
        </w:rPr>
        <w:t>6</w:t>
      </w:r>
    </w:p>
    <w:p>
      <w:pPr>
        <w:pStyle w:val="15"/>
        <w:tabs>
          <w:tab w:val="right" w:leader="dot" w:pos="8306"/>
        </w:tabs>
        <w:spacing w:line="288" w:lineRule="auto"/>
      </w:pPr>
      <w:r>
        <w:fldChar w:fldCharType="begin"/>
      </w:r>
      <w:r>
        <w:instrText xml:space="preserve"> HYPERLINK \l "_Toc17070_WPSOffice_Level1" </w:instrText>
      </w:r>
      <w:r>
        <w:fldChar w:fldCharType="separate"/>
      </w:r>
      <w:r>
        <w:rPr>
          <w:rFonts w:hint="eastAsia" w:ascii="宋体" w:hAnsi="宋体" w:cs="宋体"/>
          <w:b/>
          <w:bCs/>
        </w:rPr>
        <w:t>第三章  投标文件要求</w:t>
      </w:r>
      <w:r>
        <w:rPr>
          <w:b/>
          <w:bCs/>
        </w:rPr>
        <w:tab/>
      </w:r>
      <w:r>
        <w:rPr>
          <w:rFonts w:hint="eastAsia"/>
          <w:b/>
          <w:bCs/>
          <w:lang w:val="en-US" w:eastAsia="zh-CN"/>
        </w:rPr>
        <w:t>6</w:t>
      </w:r>
      <w:r>
        <w:rPr>
          <w:rFonts w:hint="eastAsia"/>
          <w:b/>
          <w:bCs/>
        </w:rPr>
        <w:fldChar w:fldCharType="end"/>
      </w:r>
    </w:p>
    <w:p>
      <w:pPr>
        <w:pStyle w:val="16"/>
        <w:tabs>
          <w:tab w:val="right" w:leader="dot" w:pos="8306"/>
        </w:tabs>
        <w:spacing w:line="288" w:lineRule="auto"/>
        <w:ind w:left="440"/>
      </w:pPr>
      <w:r>
        <w:fldChar w:fldCharType="begin"/>
      </w:r>
      <w:r>
        <w:instrText xml:space="preserve"> HYPERLINK \l "_Toc22539_WPSOffice_Level2" </w:instrText>
      </w:r>
      <w:r>
        <w:fldChar w:fldCharType="separate"/>
      </w:r>
      <w:r>
        <w:rPr>
          <w:rFonts w:hint="eastAsia" w:ascii="宋体" w:hAnsi="宋体" w:cs="宋体"/>
        </w:rPr>
        <w:t>一、投标文件的组成</w:t>
      </w:r>
      <w:r>
        <w:tab/>
      </w:r>
      <w:r>
        <w:rPr>
          <w:rFonts w:hint="eastAsia"/>
          <w:lang w:val="en-US" w:eastAsia="zh-CN"/>
        </w:rPr>
        <w:t>6</w:t>
      </w:r>
      <w:r>
        <w:rPr>
          <w:rFonts w:hint="eastAsia"/>
        </w:rPr>
        <w:fldChar w:fldCharType="end"/>
      </w:r>
    </w:p>
    <w:p>
      <w:pPr>
        <w:pStyle w:val="16"/>
        <w:tabs>
          <w:tab w:val="right" w:leader="dot" w:pos="8306"/>
        </w:tabs>
        <w:spacing w:line="288" w:lineRule="auto"/>
        <w:ind w:left="440"/>
        <w:rPr>
          <w:rFonts w:hint="eastAsia" w:eastAsia="宋体"/>
          <w:lang w:eastAsia="zh-CN"/>
        </w:rPr>
      </w:pPr>
      <w:r>
        <w:fldChar w:fldCharType="begin"/>
      </w:r>
      <w:r>
        <w:instrText xml:space="preserve"> HYPERLINK \l "_Toc8970_WPSOffice_Level2" </w:instrText>
      </w:r>
      <w:r>
        <w:fldChar w:fldCharType="separate"/>
      </w:r>
      <w:r>
        <w:rPr>
          <w:rFonts w:hint="eastAsia" w:ascii="宋体" w:hAnsi="宋体" w:cs="宋体"/>
        </w:rPr>
        <w:t>二、投标文件的份数和签署</w:t>
      </w:r>
      <w:r>
        <w:tab/>
      </w:r>
      <w:r>
        <w:fldChar w:fldCharType="end"/>
      </w:r>
      <w:r>
        <w:rPr>
          <w:rFonts w:hint="eastAsia"/>
          <w:lang w:val="en-US" w:eastAsia="zh-CN"/>
        </w:rPr>
        <w:t>7</w:t>
      </w:r>
    </w:p>
    <w:p>
      <w:pPr>
        <w:pStyle w:val="15"/>
        <w:tabs>
          <w:tab w:val="right" w:leader="dot" w:pos="8306"/>
        </w:tabs>
        <w:spacing w:line="288" w:lineRule="auto"/>
      </w:pPr>
      <w:r>
        <w:fldChar w:fldCharType="begin"/>
      </w:r>
      <w:r>
        <w:instrText xml:space="preserve"> HYPERLINK \l "_Toc22905_WPSOffice_Level1" </w:instrText>
      </w:r>
      <w:r>
        <w:fldChar w:fldCharType="separate"/>
      </w:r>
      <w:r>
        <w:rPr>
          <w:rFonts w:hint="eastAsia" w:ascii="宋体" w:hAnsi="宋体" w:cs="宋体"/>
          <w:b/>
          <w:bCs/>
        </w:rPr>
        <w:t>第四章  投标文件的递交</w:t>
      </w:r>
      <w:r>
        <w:rPr>
          <w:b/>
          <w:bCs/>
        </w:rPr>
        <w:tab/>
      </w:r>
      <w:r>
        <w:rPr>
          <w:rFonts w:hint="eastAsia"/>
          <w:b/>
          <w:bCs/>
          <w:lang w:val="en-US" w:eastAsia="zh-CN"/>
        </w:rPr>
        <w:t>8</w:t>
      </w:r>
      <w:r>
        <w:rPr>
          <w:rFonts w:hint="eastAsia"/>
          <w:b/>
          <w:bCs/>
        </w:rPr>
        <w:fldChar w:fldCharType="end"/>
      </w:r>
    </w:p>
    <w:p>
      <w:pPr>
        <w:pStyle w:val="16"/>
        <w:tabs>
          <w:tab w:val="right" w:leader="dot" w:pos="8306"/>
        </w:tabs>
        <w:spacing w:line="288" w:lineRule="auto"/>
        <w:ind w:left="440"/>
      </w:pPr>
      <w:r>
        <w:fldChar w:fldCharType="begin"/>
      </w:r>
      <w:r>
        <w:instrText xml:space="preserve"> HYPERLINK \l "_Toc1493_WPSOffice_Level2" </w:instrText>
      </w:r>
      <w:r>
        <w:fldChar w:fldCharType="separate"/>
      </w:r>
      <w:r>
        <w:rPr>
          <w:rFonts w:hint="eastAsia" w:ascii="宋体" w:hAnsi="宋体" w:cs="宋体"/>
        </w:rPr>
        <w:t>一、投标书的封装</w:t>
      </w:r>
      <w:r>
        <w:tab/>
      </w:r>
      <w:r>
        <w:rPr>
          <w:rFonts w:hint="eastAsia"/>
          <w:lang w:val="en-US" w:eastAsia="zh-CN"/>
        </w:rPr>
        <w:t>8</w:t>
      </w:r>
      <w:r>
        <w:rPr>
          <w:rFonts w:hint="eastAsia"/>
        </w:rPr>
        <w:fldChar w:fldCharType="end"/>
      </w:r>
    </w:p>
    <w:p>
      <w:pPr>
        <w:pStyle w:val="16"/>
        <w:tabs>
          <w:tab w:val="right" w:leader="dot" w:pos="8306"/>
        </w:tabs>
        <w:spacing w:line="288" w:lineRule="auto"/>
        <w:ind w:left="440"/>
        <w:rPr>
          <w:rFonts w:hint="eastAsia" w:eastAsia="宋体"/>
          <w:lang w:val="en-US" w:eastAsia="zh-CN"/>
        </w:rPr>
      </w:pPr>
      <w:r>
        <w:fldChar w:fldCharType="begin"/>
      </w:r>
      <w:r>
        <w:instrText xml:space="preserve"> HYPERLINK \l "_Toc4085_WPSOffice_Level2" </w:instrText>
      </w:r>
      <w:r>
        <w:fldChar w:fldCharType="separate"/>
      </w:r>
      <w:r>
        <w:rPr>
          <w:rFonts w:hint="eastAsia" w:ascii="宋体" w:hAnsi="宋体" w:cs="宋体"/>
        </w:rPr>
        <w:t>二、投标截止日期</w:t>
      </w:r>
      <w:r>
        <w:tab/>
      </w:r>
      <w:r>
        <w:rPr>
          <w:rFonts w:hint="eastAsia"/>
        </w:rPr>
        <w:fldChar w:fldCharType="end"/>
      </w:r>
      <w:r>
        <w:rPr>
          <w:rFonts w:hint="eastAsia"/>
          <w:lang w:val="en-US" w:eastAsia="zh-CN"/>
        </w:rPr>
        <w:t>8</w:t>
      </w:r>
    </w:p>
    <w:p>
      <w:pPr>
        <w:pStyle w:val="15"/>
        <w:tabs>
          <w:tab w:val="right" w:leader="dot" w:pos="8306"/>
        </w:tabs>
        <w:spacing w:line="288" w:lineRule="auto"/>
      </w:pPr>
      <w:r>
        <w:fldChar w:fldCharType="begin"/>
      </w:r>
      <w:r>
        <w:instrText xml:space="preserve"> HYPERLINK \l "_Toc2413_WPSOffice_Level1" </w:instrText>
      </w:r>
      <w:r>
        <w:fldChar w:fldCharType="separate"/>
      </w:r>
      <w:r>
        <w:rPr>
          <w:rFonts w:hint="eastAsia" w:ascii="宋体" w:hAnsi="宋体" w:cs="宋体"/>
          <w:b/>
          <w:bCs/>
        </w:rPr>
        <w:t>第五章  开标与评标</w:t>
      </w:r>
      <w:r>
        <w:rPr>
          <w:b/>
          <w:bCs/>
        </w:rPr>
        <w:tab/>
      </w:r>
      <w:r>
        <w:rPr>
          <w:rFonts w:hint="eastAsia"/>
          <w:b/>
          <w:bCs/>
          <w:lang w:val="en-US" w:eastAsia="zh-CN"/>
        </w:rPr>
        <w:t>9</w:t>
      </w:r>
      <w:r>
        <w:rPr>
          <w:rFonts w:hint="eastAsia"/>
          <w:b/>
          <w:bCs/>
        </w:rPr>
        <w:fldChar w:fldCharType="end"/>
      </w:r>
    </w:p>
    <w:p>
      <w:pPr>
        <w:pStyle w:val="16"/>
        <w:tabs>
          <w:tab w:val="right" w:leader="dot" w:pos="8306"/>
        </w:tabs>
        <w:spacing w:line="288" w:lineRule="auto"/>
        <w:ind w:left="440"/>
      </w:pPr>
      <w:r>
        <w:fldChar w:fldCharType="begin"/>
      </w:r>
      <w:r>
        <w:instrText xml:space="preserve"> HYPERLINK \l "_Toc17707_WPSOffice_Level2" </w:instrText>
      </w:r>
      <w:r>
        <w:fldChar w:fldCharType="separate"/>
      </w:r>
      <w:r>
        <w:rPr>
          <w:rFonts w:hint="eastAsia" w:ascii="宋体" w:hAnsi="宋体" w:cs="宋体"/>
        </w:rPr>
        <w:t>一、开标</w:t>
      </w:r>
      <w:r>
        <w:tab/>
      </w:r>
      <w:r>
        <w:rPr>
          <w:rFonts w:hint="eastAsia"/>
          <w:lang w:val="en-US" w:eastAsia="zh-CN"/>
        </w:rPr>
        <w:t>9</w:t>
      </w:r>
      <w:r>
        <w:rPr>
          <w:rFonts w:hint="eastAsia"/>
        </w:rPr>
        <w:fldChar w:fldCharType="end"/>
      </w:r>
    </w:p>
    <w:p>
      <w:pPr>
        <w:pStyle w:val="16"/>
        <w:tabs>
          <w:tab w:val="right" w:leader="dot" w:pos="8306"/>
        </w:tabs>
        <w:spacing w:line="288" w:lineRule="auto"/>
        <w:ind w:left="440"/>
      </w:pPr>
      <w:r>
        <w:fldChar w:fldCharType="begin"/>
      </w:r>
      <w:r>
        <w:instrText xml:space="preserve"> HYPERLINK \l "_Toc2667_WPSOffice_Level2" </w:instrText>
      </w:r>
      <w:r>
        <w:fldChar w:fldCharType="separate"/>
      </w:r>
      <w:r>
        <w:rPr>
          <w:rFonts w:hint="eastAsia" w:ascii="宋体" w:hAnsi="宋体" w:cs="宋体"/>
        </w:rPr>
        <w:t>二、评标</w:t>
      </w:r>
      <w:r>
        <w:tab/>
      </w:r>
      <w:r>
        <w:rPr>
          <w:rFonts w:hint="eastAsia"/>
          <w:lang w:val="en-US" w:eastAsia="zh-CN"/>
        </w:rPr>
        <w:t>9</w:t>
      </w:r>
      <w:r>
        <w:rPr>
          <w:rFonts w:hint="eastAsia"/>
        </w:rPr>
        <w:fldChar w:fldCharType="end"/>
      </w:r>
    </w:p>
    <w:p>
      <w:pPr>
        <w:pStyle w:val="16"/>
        <w:tabs>
          <w:tab w:val="right" w:leader="dot" w:pos="8306"/>
        </w:tabs>
        <w:spacing w:line="288" w:lineRule="auto"/>
        <w:ind w:left="440"/>
        <w:rPr>
          <w:rFonts w:hint="eastAsia" w:eastAsia="宋体"/>
          <w:lang w:eastAsia="zh-CN"/>
        </w:rPr>
      </w:pPr>
      <w:r>
        <w:fldChar w:fldCharType="begin"/>
      </w:r>
      <w:r>
        <w:instrText xml:space="preserve"> HYPERLINK \l "_Toc15983_WPSOffice_Level2" </w:instrText>
      </w:r>
      <w:r>
        <w:fldChar w:fldCharType="separate"/>
      </w:r>
      <w:r>
        <w:rPr>
          <w:rFonts w:hint="eastAsia" w:ascii="宋体" w:hAnsi="宋体" w:cs="宋体"/>
        </w:rPr>
        <w:t>三、中标</w:t>
      </w:r>
      <w:r>
        <w:tab/>
      </w:r>
      <w:r>
        <w:rPr>
          <w:rFonts w:hint="eastAsia"/>
        </w:rPr>
        <w:t>1</w:t>
      </w:r>
      <w:r>
        <w:rPr>
          <w:rFonts w:hint="eastAsia"/>
        </w:rPr>
        <w:fldChar w:fldCharType="end"/>
      </w:r>
      <w:r>
        <w:rPr>
          <w:rFonts w:hint="eastAsia"/>
          <w:lang w:val="en-US" w:eastAsia="zh-CN"/>
        </w:rPr>
        <w:t>0</w:t>
      </w:r>
    </w:p>
    <w:p>
      <w:pPr>
        <w:pStyle w:val="16"/>
        <w:numPr>
          <w:ilvl w:val="0"/>
          <w:numId w:val="1"/>
        </w:numPr>
        <w:tabs>
          <w:tab w:val="right" w:leader="dot" w:pos="8306"/>
        </w:tabs>
        <w:spacing w:line="288" w:lineRule="auto"/>
        <w:ind w:left="440"/>
        <w:rPr>
          <w:rFonts w:hint="eastAsia"/>
        </w:rPr>
      </w:pPr>
      <w:r>
        <w:rPr>
          <w:rFonts w:hint="eastAsia"/>
          <w:lang w:eastAsia="zh-CN"/>
        </w:rPr>
        <w:t>开标异常处理</w:t>
      </w:r>
      <w:r>
        <w:rPr>
          <w:rFonts w:hint="eastAsia"/>
        </w:rPr>
        <w:t>........................................................................................................................</w:t>
      </w:r>
      <w:r>
        <w:rPr>
          <w:rFonts w:hint="eastAsia"/>
          <w:lang w:val="en-US" w:eastAsia="zh-CN"/>
        </w:rPr>
        <w:t>10</w:t>
      </w:r>
    </w:p>
    <w:p>
      <w:pPr>
        <w:pStyle w:val="16"/>
        <w:numPr>
          <w:ilvl w:val="0"/>
          <w:numId w:val="1"/>
        </w:numPr>
        <w:tabs>
          <w:tab w:val="right" w:leader="dot" w:pos="8306"/>
        </w:tabs>
        <w:spacing w:line="288" w:lineRule="auto"/>
        <w:ind w:left="440"/>
      </w:pPr>
      <w:r>
        <w:fldChar w:fldCharType="begin"/>
      </w:r>
      <w:r>
        <w:instrText xml:space="preserve"> HYPERLINK \l "_Toc3978_WPSOffice_Level2" </w:instrText>
      </w:r>
      <w:r>
        <w:fldChar w:fldCharType="separate"/>
      </w:r>
      <w:r>
        <w:rPr>
          <w:rFonts w:hint="eastAsia" w:ascii="宋体" w:hAnsi="宋体" w:cs="宋体"/>
        </w:rPr>
        <w:t>合同</w:t>
      </w:r>
      <w:r>
        <w:tab/>
      </w:r>
      <w:r>
        <w:rPr>
          <w:rFonts w:hint="eastAsia"/>
        </w:rPr>
        <w:t>1</w:t>
      </w:r>
      <w:r>
        <w:rPr>
          <w:rFonts w:hint="eastAsia"/>
        </w:rPr>
        <w:fldChar w:fldCharType="end"/>
      </w:r>
      <w:r>
        <w:rPr>
          <w:rFonts w:hint="eastAsia"/>
          <w:lang w:val="en-US" w:eastAsia="zh-CN"/>
        </w:rPr>
        <w:t>0</w:t>
      </w:r>
    </w:p>
    <w:p>
      <w:pPr>
        <w:pStyle w:val="15"/>
        <w:tabs>
          <w:tab w:val="right" w:leader="dot" w:pos="8306"/>
        </w:tabs>
        <w:spacing w:line="288" w:lineRule="auto"/>
        <w:rPr>
          <w:rFonts w:hint="eastAsia" w:eastAsia="宋体"/>
          <w:lang w:eastAsia="zh-CN"/>
        </w:rPr>
      </w:pPr>
      <w:r>
        <w:fldChar w:fldCharType="begin"/>
      </w:r>
      <w:r>
        <w:instrText xml:space="preserve"> HYPERLINK \l "_Toc11125_WPSOffice_Level1" </w:instrText>
      </w:r>
      <w:r>
        <w:fldChar w:fldCharType="separate"/>
      </w:r>
      <w:r>
        <w:rPr>
          <w:rFonts w:hint="eastAsia" w:ascii="宋体" w:hAnsi="宋体" w:cs="宋体"/>
          <w:b/>
          <w:bCs/>
        </w:rPr>
        <w:t>附件：</w:t>
      </w:r>
      <w:r>
        <w:rPr>
          <w:b/>
          <w:bCs/>
        </w:rPr>
        <w:tab/>
      </w:r>
      <w:r>
        <w:rPr>
          <w:rFonts w:hint="eastAsia"/>
          <w:b/>
          <w:bCs/>
        </w:rPr>
        <w:t>1</w:t>
      </w:r>
      <w:r>
        <w:rPr>
          <w:rFonts w:hint="eastAsia"/>
          <w:b/>
          <w:bCs/>
        </w:rPr>
        <w:fldChar w:fldCharType="end"/>
      </w:r>
      <w:r>
        <w:rPr>
          <w:rFonts w:hint="eastAsia"/>
          <w:b/>
          <w:bCs/>
          <w:lang w:val="en-US" w:eastAsia="zh-CN"/>
        </w:rPr>
        <w:t>1</w:t>
      </w:r>
    </w:p>
    <w:p>
      <w:pPr>
        <w:pStyle w:val="15"/>
        <w:tabs>
          <w:tab w:val="right" w:leader="dot" w:pos="8306"/>
        </w:tabs>
        <w:spacing w:line="288" w:lineRule="auto"/>
        <w:ind w:firstLine="400" w:firstLineChars="200"/>
        <w:rPr>
          <w:rFonts w:hint="eastAsia" w:eastAsia="宋体"/>
          <w:lang w:eastAsia="zh-CN"/>
        </w:rPr>
      </w:pPr>
      <w:r>
        <w:fldChar w:fldCharType="begin"/>
      </w:r>
      <w:r>
        <w:instrText xml:space="preserve"> HYPERLINK \l "_Toc26091_WPSOffice_Level1" </w:instrText>
      </w:r>
      <w:r>
        <w:fldChar w:fldCharType="separate"/>
      </w:r>
      <w:r>
        <w:rPr>
          <w:rFonts w:hint="eastAsia" w:ascii="宋体" w:hAnsi="宋体" w:cs="宋体"/>
        </w:rPr>
        <w:t>一、授权委托书</w:t>
      </w:r>
      <w:r>
        <w:tab/>
      </w:r>
      <w:r>
        <w:rPr>
          <w:rFonts w:hint="eastAsia"/>
        </w:rPr>
        <w:t>1</w:t>
      </w:r>
      <w:r>
        <w:rPr>
          <w:rFonts w:hint="eastAsia"/>
        </w:rPr>
        <w:fldChar w:fldCharType="end"/>
      </w:r>
      <w:r>
        <w:rPr>
          <w:rFonts w:hint="eastAsia"/>
          <w:lang w:val="en-US" w:eastAsia="zh-CN"/>
        </w:rPr>
        <w:t>1</w:t>
      </w:r>
    </w:p>
    <w:p>
      <w:pPr>
        <w:pStyle w:val="15"/>
        <w:tabs>
          <w:tab w:val="right" w:leader="dot" w:pos="8306"/>
        </w:tabs>
        <w:spacing w:line="288" w:lineRule="auto"/>
        <w:ind w:firstLine="400" w:firstLineChars="200"/>
        <w:rPr>
          <w:rFonts w:hint="eastAsia" w:eastAsia="宋体"/>
          <w:lang w:eastAsia="zh-CN"/>
        </w:rPr>
      </w:pPr>
      <w:r>
        <w:fldChar w:fldCharType="begin"/>
      </w:r>
      <w:r>
        <w:instrText xml:space="preserve"> HYPERLINK \l "_Toc6170_WPSOffice_Level1" </w:instrText>
      </w:r>
      <w:r>
        <w:fldChar w:fldCharType="separate"/>
      </w:r>
      <w:r>
        <w:rPr>
          <w:rFonts w:hint="eastAsia" w:ascii="宋体" w:hAnsi="宋体" w:cs="宋体"/>
        </w:rPr>
        <w:t>二、投标函</w:t>
      </w:r>
      <w:r>
        <w:tab/>
      </w:r>
      <w:r>
        <w:rPr>
          <w:rFonts w:hint="eastAsia"/>
        </w:rPr>
        <w:t>1</w:t>
      </w:r>
      <w:r>
        <w:rPr>
          <w:rFonts w:hint="eastAsia"/>
        </w:rPr>
        <w:fldChar w:fldCharType="end"/>
      </w:r>
      <w:r>
        <w:rPr>
          <w:rFonts w:hint="eastAsia"/>
          <w:lang w:val="en-US" w:eastAsia="zh-CN"/>
        </w:rPr>
        <w:t>2</w:t>
      </w:r>
    </w:p>
    <w:p>
      <w:pPr>
        <w:pStyle w:val="15"/>
        <w:tabs>
          <w:tab w:val="right" w:leader="dot" w:pos="8306"/>
        </w:tabs>
        <w:spacing w:line="288" w:lineRule="auto"/>
        <w:ind w:firstLine="400" w:firstLineChars="200"/>
        <w:rPr>
          <w:rFonts w:hint="eastAsia" w:eastAsia="宋体"/>
          <w:lang w:eastAsia="zh-CN"/>
        </w:rPr>
      </w:pPr>
      <w:r>
        <w:fldChar w:fldCharType="begin"/>
      </w:r>
      <w:r>
        <w:instrText xml:space="preserve"> HYPERLINK \l "_Toc5373_WPSOffice_Level1" </w:instrText>
      </w:r>
      <w:r>
        <w:fldChar w:fldCharType="separate"/>
      </w:r>
      <w:r>
        <w:rPr>
          <w:rFonts w:hint="eastAsia" w:ascii="宋体" w:hAnsi="宋体" w:cs="宋体"/>
        </w:rPr>
        <w:t>三、销售代理费报价</w:t>
      </w:r>
      <w:r>
        <w:tab/>
      </w:r>
      <w:r>
        <w:rPr>
          <w:rFonts w:hint="eastAsia"/>
        </w:rPr>
        <w:t>1</w:t>
      </w:r>
      <w:r>
        <w:rPr>
          <w:rFonts w:hint="eastAsia"/>
        </w:rPr>
        <w:fldChar w:fldCharType="end"/>
      </w:r>
      <w:r>
        <w:rPr>
          <w:rFonts w:hint="eastAsia"/>
          <w:lang w:val="en-US" w:eastAsia="zh-CN"/>
        </w:rPr>
        <w:t>3</w:t>
      </w:r>
    </w:p>
    <w:p>
      <w:pPr>
        <w:pStyle w:val="15"/>
        <w:tabs>
          <w:tab w:val="right" w:leader="dot" w:pos="8306"/>
        </w:tabs>
        <w:spacing w:line="288" w:lineRule="auto"/>
        <w:ind w:firstLine="400" w:firstLineChars="200"/>
        <w:rPr>
          <w:rFonts w:hint="eastAsia" w:eastAsia="宋体"/>
          <w:lang w:eastAsia="zh-CN"/>
        </w:rPr>
      </w:pPr>
      <w:r>
        <w:fldChar w:fldCharType="begin"/>
      </w:r>
      <w:r>
        <w:instrText xml:space="preserve"> HYPERLINK \l "_Toc8378_WPSOffice_Level1" </w:instrText>
      </w:r>
      <w:r>
        <w:fldChar w:fldCharType="separate"/>
      </w:r>
      <w:r>
        <w:rPr>
          <w:rFonts w:hint="eastAsia" w:ascii="宋体" w:hAnsi="宋体" w:cs="宋体"/>
        </w:rPr>
        <w:t>四、本案主创人员一览表</w:t>
      </w:r>
      <w:r>
        <w:tab/>
      </w:r>
      <w:r>
        <w:rPr>
          <w:rFonts w:hint="eastAsia"/>
        </w:rPr>
        <w:t>1</w:t>
      </w:r>
      <w:r>
        <w:rPr>
          <w:rFonts w:hint="eastAsia"/>
        </w:rPr>
        <w:fldChar w:fldCharType="end"/>
      </w:r>
      <w:r>
        <w:rPr>
          <w:rFonts w:hint="eastAsia"/>
          <w:lang w:val="en-US" w:eastAsia="zh-CN"/>
        </w:rPr>
        <w:t>4</w:t>
      </w:r>
    </w:p>
    <w:p>
      <w:pPr>
        <w:pStyle w:val="15"/>
        <w:tabs>
          <w:tab w:val="right" w:leader="dot" w:pos="8306"/>
        </w:tabs>
        <w:spacing w:line="288" w:lineRule="auto"/>
        <w:ind w:firstLine="400" w:firstLineChars="200"/>
        <w:rPr>
          <w:rFonts w:hint="eastAsia" w:eastAsia="宋体"/>
          <w:lang w:eastAsia="zh-CN"/>
        </w:rPr>
      </w:pPr>
      <w:r>
        <w:fldChar w:fldCharType="begin"/>
      </w:r>
      <w:r>
        <w:instrText xml:space="preserve"> HYPERLINK \l "_Toc4139_WPSOffice_Level1" </w:instrText>
      </w:r>
      <w:r>
        <w:fldChar w:fldCharType="separate"/>
      </w:r>
      <w:r>
        <w:rPr>
          <w:rFonts w:hint="eastAsia" w:ascii="宋体" w:hAnsi="宋体" w:cs="宋体"/>
        </w:rPr>
        <w:t>五、公司销售业绩一览表</w:t>
      </w:r>
      <w:r>
        <w:tab/>
      </w:r>
      <w:r>
        <w:rPr>
          <w:rFonts w:hint="eastAsia"/>
        </w:rPr>
        <w:t>1</w:t>
      </w:r>
      <w:r>
        <w:rPr>
          <w:rFonts w:hint="eastAsia"/>
        </w:rPr>
        <w:fldChar w:fldCharType="end"/>
      </w:r>
      <w:r>
        <w:rPr>
          <w:rFonts w:hint="eastAsia"/>
          <w:lang w:val="en-US" w:eastAsia="zh-CN"/>
        </w:rPr>
        <w:t>5</w:t>
      </w:r>
    </w:p>
    <w:p>
      <w:pPr>
        <w:pStyle w:val="15"/>
        <w:tabs>
          <w:tab w:val="right" w:leader="dot" w:pos="8306"/>
        </w:tabs>
        <w:spacing w:line="288" w:lineRule="auto"/>
        <w:ind w:firstLine="400" w:firstLineChars="200"/>
        <w:rPr>
          <w:rFonts w:hint="eastAsia" w:eastAsia="宋体"/>
          <w:lang w:eastAsia="zh-CN"/>
        </w:rPr>
      </w:pPr>
      <w:r>
        <w:fldChar w:fldCharType="begin"/>
      </w:r>
      <w:r>
        <w:instrText xml:space="preserve"> HYPERLINK \l "_Toc20489_WPSOffice_Level1" </w:instrText>
      </w:r>
      <w:r>
        <w:fldChar w:fldCharType="separate"/>
      </w:r>
      <w:r>
        <w:rPr>
          <w:rFonts w:hint="eastAsia" w:ascii="宋体" w:hAnsi="宋体" w:cs="宋体"/>
        </w:rPr>
        <w:t>六、</w:t>
      </w:r>
      <w:r>
        <w:rPr>
          <w:rFonts w:hint="eastAsia" w:ascii="宋体" w:hAnsi="宋体" w:cs="宋体"/>
          <w:lang w:eastAsia="zh-CN"/>
        </w:rPr>
        <w:t>宣城城建房地产营销策划有限公司</w:t>
      </w:r>
      <w:r>
        <w:rPr>
          <w:rFonts w:hint="eastAsia" w:ascii="宋体" w:hAnsi="宋体" w:cs="宋体"/>
        </w:rPr>
        <w:t>销售代理服务内容</w:t>
      </w:r>
      <w:r>
        <w:tab/>
      </w:r>
      <w:r>
        <w:rPr>
          <w:rFonts w:hint="eastAsia"/>
        </w:rPr>
        <w:t>1</w:t>
      </w:r>
      <w:r>
        <w:rPr>
          <w:rFonts w:hint="eastAsia"/>
        </w:rPr>
        <w:fldChar w:fldCharType="end"/>
      </w:r>
      <w:r>
        <w:rPr>
          <w:rFonts w:hint="eastAsia"/>
          <w:lang w:val="en-US" w:eastAsia="zh-CN"/>
        </w:rPr>
        <w:t>6</w:t>
      </w:r>
    </w:p>
    <w:p>
      <w:pPr>
        <w:pStyle w:val="15"/>
        <w:tabs>
          <w:tab w:val="right" w:leader="dot" w:pos="8306"/>
        </w:tabs>
        <w:spacing w:line="288" w:lineRule="auto"/>
        <w:ind w:firstLine="400" w:firstLineChars="200"/>
        <w:rPr>
          <w:rFonts w:hint="eastAsia" w:eastAsia="宋体"/>
          <w:lang w:eastAsia="zh-CN"/>
        </w:rPr>
      </w:pPr>
      <w:r>
        <w:fldChar w:fldCharType="begin"/>
      </w:r>
      <w:r>
        <w:instrText xml:space="preserve"> HYPERLINK \l "_Toc11723_WPSOffice_Level1" </w:instrText>
      </w:r>
      <w:r>
        <w:fldChar w:fldCharType="separate"/>
      </w:r>
      <w:r>
        <w:rPr>
          <w:rFonts w:hint="eastAsia" w:ascii="宋体" w:hAnsi="宋体" w:cs="宋体"/>
        </w:rPr>
        <w:t>七、销售代理招标评分表</w:t>
      </w:r>
      <w:bookmarkStart w:id="2" w:name="_Toc11723_WPSOffice_Level1Page"/>
      <w:r>
        <w:tab/>
      </w:r>
      <w:bookmarkEnd w:id="2"/>
      <w:r>
        <w:fldChar w:fldCharType="end"/>
      </w:r>
      <w:r>
        <w:rPr>
          <w:rFonts w:hint="eastAsia"/>
        </w:rPr>
        <w:t>1</w:t>
      </w:r>
      <w:r>
        <w:rPr>
          <w:rFonts w:hint="eastAsia"/>
          <w:lang w:val="en-US" w:eastAsia="zh-CN"/>
        </w:rPr>
        <w:t>7</w:t>
      </w:r>
    </w:p>
    <w:p>
      <w:pPr>
        <w:tabs>
          <w:tab w:val="left" w:pos="900"/>
        </w:tabs>
        <w:spacing w:line="360" w:lineRule="auto"/>
        <w:ind w:firstLine="643" w:firstLineChars="200"/>
        <w:jc w:val="center"/>
        <w:outlineLvl w:val="0"/>
        <w:rPr>
          <w:rFonts w:hint="eastAsia"/>
          <w:b/>
          <w:sz w:val="32"/>
          <w:szCs w:val="32"/>
        </w:rPr>
      </w:pPr>
    </w:p>
    <w:p>
      <w:pPr>
        <w:pStyle w:val="2"/>
        <w:rPr>
          <w:rFonts w:hint="eastAsia"/>
          <w:b/>
          <w:sz w:val="32"/>
          <w:szCs w:val="32"/>
        </w:rPr>
      </w:pPr>
    </w:p>
    <w:p>
      <w:pPr>
        <w:tabs>
          <w:tab w:val="left" w:pos="900"/>
        </w:tabs>
        <w:spacing w:line="360" w:lineRule="auto"/>
        <w:ind w:firstLine="643" w:firstLineChars="200"/>
        <w:jc w:val="center"/>
        <w:outlineLvl w:val="0"/>
        <w:rPr>
          <w:b/>
          <w:sz w:val="32"/>
          <w:szCs w:val="32"/>
        </w:rPr>
      </w:pPr>
      <w:r>
        <w:rPr>
          <w:rFonts w:hint="eastAsia"/>
          <w:b/>
          <w:sz w:val="32"/>
          <w:szCs w:val="32"/>
        </w:rPr>
        <w:t>第一章  招标文件</w:t>
      </w:r>
      <w:bookmarkEnd w:id="1"/>
    </w:p>
    <w:p>
      <w:pPr>
        <w:tabs>
          <w:tab w:val="left" w:pos="900"/>
          <w:tab w:val="left" w:pos="3420"/>
        </w:tabs>
        <w:spacing w:line="360" w:lineRule="auto"/>
        <w:outlineLvl w:val="1"/>
        <w:rPr>
          <w:b/>
          <w:szCs w:val="21"/>
        </w:rPr>
      </w:pPr>
      <w:bookmarkStart w:id="3" w:name="_Toc16860_WPSOffice_Level2"/>
      <w:r>
        <w:rPr>
          <w:rFonts w:hint="eastAsia"/>
          <w:b/>
          <w:szCs w:val="21"/>
        </w:rPr>
        <w:t>一、招标文件的内容</w:t>
      </w:r>
      <w:bookmarkEnd w:id="3"/>
    </w:p>
    <w:p>
      <w:pPr>
        <w:tabs>
          <w:tab w:val="left" w:pos="900"/>
          <w:tab w:val="left" w:pos="3420"/>
        </w:tabs>
        <w:spacing w:line="360" w:lineRule="auto"/>
        <w:rPr>
          <w:szCs w:val="21"/>
        </w:rPr>
      </w:pPr>
      <w:r>
        <w:rPr>
          <w:rFonts w:hint="eastAsia"/>
          <w:szCs w:val="21"/>
        </w:rPr>
        <w:t xml:space="preserve">    1、招标文件包括以下内容：</w:t>
      </w:r>
    </w:p>
    <w:p>
      <w:pPr>
        <w:tabs>
          <w:tab w:val="left" w:pos="900"/>
          <w:tab w:val="left" w:pos="3420"/>
        </w:tabs>
        <w:spacing w:line="360" w:lineRule="auto"/>
        <w:ind w:firstLine="440" w:firstLineChars="200"/>
        <w:outlineLvl w:val="2"/>
        <w:rPr>
          <w:i/>
          <w:iCs/>
          <w:szCs w:val="21"/>
        </w:rPr>
      </w:pPr>
      <w:r>
        <w:rPr>
          <w:rFonts w:hint="eastAsia"/>
          <w:szCs w:val="21"/>
        </w:rPr>
        <w:t>（1）投标须知；</w:t>
      </w:r>
    </w:p>
    <w:p>
      <w:pPr>
        <w:tabs>
          <w:tab w:val="left" w:pos="540"/>
          <w:tab w:val="left" w:pos="900"/>
          <w:tab w:val="left" w:pos="3420"/>
        </w:tabs>
        <w:spacing w:line="360" w:lineRule="auto"/>
        <w:ind w:firstLine="440" w:firstLineChars="200"/>
        <w:outlineLvl w:val="2"/>
        <w:rPr>
          <w:szCs w:val="21"/>
        </w:rPr>
      </w:pPr>
      <w:r>
        <w:rPr>
          <w:rFonts w:hint="eastAsia"/>
          <w:szCs w:val="21"/>
        </w:rPr>
        <w:t>（2）投标文件要求；</w:t>
      </w:r>
    </w:p>
    <w:p>
      <w:pPr>
        <w:tabs>
          <w:tab w:val="left" w:pos="540"/>
          <w:tab w:val="left" w:pos="900"/>
          <w:tab w:val="left" w:pos="3420"/>
        </w:tabs>
        <w:spacing w:line="360" w:lineRule="auto"/>
        <w:ind w:firstLine="420"/>
        <w:outlineLvl w:val="2"/>
        <w:rPr>
          <w:szCs w:val="21"/>
        </w:rPr>
      </w:pPr>
      <w:r>
        <w:rPr>
          <w:rFonts w:hint="eastAsia"/>
          <w:szCs w:val="21"/>
        </w:rPr>
        <w:t>（3）投标文件的递交；</w:t>
      </w:r>
    </w:p>
    <w:p>
      <w:pPr>
        <w:tabs>
          <w:tab w:val="left" w:pos="540"/>
          <w:tab w:val="left" w:pos="900"/>
          <w:tab w:val="left" w:pos="3420"/>
        </w:tabs>
        <w:spacing w:line="360" w:lineRule="auto"/>
        <w:ind w:firstLine="420"/>
        <w:outlineLvl w:val="2"/>
        <w:rPr>
          <w:szCs w:val="21"/>
        </w:rPr>
      </w:pPr>
      <w:r>
        <w:rPr>
          <w:rFonts w:hint="eastAsia"/>
          <w:szCs w:val="21"/>
        </w:rPr>
        <w:t>（4）开标、评标；</w:t>
      </w:r>
    </w:p>
    <w:p>
      <w:pPr>
        <w:tabs>
          <w:tab w:val="left" w:pos="540"/>
          <w:tab w:val="left" w:pos="900"/>
          <w:tab w:val="left" w:pos="3420"/>
        </w:tabs>
        <w:spacing w:line="360" w:lineRule="auto"/>
        <w:ind w:firstLine="420"/>
        <w:outlineLvl w:val="2"/>
        <w:rPr>
          <w:szCs w:val="21"/>
        </w:rPr>
      </w:pPr>
      <w:r>
        <w:rPr>
          <w:rFonts w:hint="eastAsia"/>
          <w:szCs w:val="21"/>
        </w:rPr>
        <w:t>（5）投标文件格式及附表；</w:t>
      </w:r>
    </w:p>
    <w:p>
      <w:pPr>
        <w:tabs>
          <w:tab w:val="left" w:pos="540"/>
          <w:tab w:val="left" w:pos="900"/>
          <w:tab w:val="left" w:pos="3420"/>
        </w:tabs>
        <w:spacing w:line="360" w:lineRule="auto"/>
        <w:ind w:firstLine="420"/>
        <w:outlineLvl w:val="2"/>
        <w:rPr>
          <w:rFonts w:hint="eastAsia" w:eastAsia="宋体"/>
          <w:b/>
          <w:szCs w:val="21"/>
          <w:lang w:eastAsia="zh-CN"/>
        </w:rPr>
      </w:pPr>
      <w:r>
        <w:rPr>
          <w:rFonts w:hint="eastAsia"/>
          <w:szCs w:val="21"/>
        </w:rPr>
        <w:t>（6）招标图纸（</w:t>
      </w:r>
      <w:r>
        <w:rPr>
          <w:rFonts w:hint="eastAsia"/>
          <w:szCs w:val="21"/>
          <w:lang w:val="en-US" w:eastAsia="zh-CN"/>
        </w:rPr>
        <w:t>城建世纪阳江项目</w:t>
      </w:r>
      <w:r>
        <w:rPr>
          <w:rFonts w:hint="eastAsia"/>
          <w:szCs w:val="21"/>
          <w:lang w:val="en-US"/>
        </w:rPr>
        <w:t>设计</w:t>
      </w:r>
      <w:r>
        <w:rPr>
          <w:rFonts w:hint="eastAsia"/>
          <w:szCs w:val="21"/>
          <w:lang w:val="en-US" w:eastAsia="zh-CN"/>
        </w:rPr>
        <w:t>文本</w:t>
      </w:r>
      <w:r>
        <w:rPr>
          <w:rFonts w:hint="eastAsia"/>
          <w:szCs w:val="21"/>
          <w:lang w:val="en-US"/>
        </w:rPr>
        <w:t>方案</w:t>
      </w:r>
      <w:r>
        <w:rPr>
          <w:rFonts w:hint="eastAsia"/>
          <w:szCs w:val="21"/>
          <w:lang w:val="en-US" w:eastAsia="zh-CN"/>
        </w:rPr>
        <w:t>-联系黄运超18256322791获取</w:t>
      </w:r>
      <w:r>
        <w:rPr>
          <w:rFonts w:hint="eastAsia"/>
          <w:szCs w:val="21"/>
        </w:rPr>
        <w:t>）</w:t>
      </w:r>
      <w:r>
        <w:rPr>
          <w:rFonts w:hint="eastAsia"/>
          <w:szCs w:val="21"/>
          <w:lang w:eastAsia="zh-CN"/>
        </w:rPr>
        <w:t>；</w:t>
      </w:r>
    </w:p>
    <w:p>
      <w:pPr>
        <w:tabs>
          <w:tab w:val="left" w:pos="540"/>
          <w:tab w:val="left" w:pos="900"/>
          <w:tab w:val="left" w:pos="3420"/>
        </w:tabs>
        <w:spacing w:line="360" w:lineRule="auto"/>
        <w:ind w:firstLine="440" w:firstLineChars="200"/>
        <w:rPr>
          <w:szCs w:val="21"/>
        </w:rPr>
      </w:pPr>
      <w:r>
        <w:rPr>
          <w:rFonts w:hint="eastAsia"/>
          <w:szCs w:val="21"/>
        </w:rPr>
        <w:t>2、投标人应认真阅读招标文件中所有内容，如果投标人的投标文件不能满足本招标文件的要求，责任由投标人自负，招标人有权拒绝未满足本招标文件要求的投标文件。</w:t>
      </w:r>
    </w:p>
    <w:p>
      <w:pPr>
        <w:tabs>
          <w:tab w:val="left" w:pos="540"/>
          <w:tab w:val="left" w:pos="900"/>
          <w:tab w:val="left" w:pos="3420"/>
        </w:tabs>
        <w:spacing w:line="360" w:lineRule="auto"/>
        <w:ind w:firstLine="440" w:firstLineChars="200"/>
        <w:rPr>
          <w:szCs w:val="21"/>
        </w:rPr>
      </w:pPr>
      <w:r>
        <w:rPr>
          <w:rFonts w:hint="eastAsia"/>
          <w:szCs w:val="21"/>
        </w:rPr>
        <w:t>3、招标人并不保证招标文件能准确的反映项目周边的实际状况，投标人必须对当地以及周边市场特点做出自己的研判，并对此负责。</w:t>
      </w:r>
    </w:p>
    <w:p>
      <w:pPr>
        <w:tabs>
          <w:tab w:val="left" w:pos="540"/>
          <w:tab w:val="left" w:pos="900"/>
          <w:tab w:val="left" w:pos="3420"/>
        </w:tabs>
        <w:spacing w:line="360" w:lineRule="auto"/>
        <w:rPr>
          <w:b/>
          <w:szCs w:val="21"/>
        </w:rPr>
      </w:pPr>
    </w:p>
    <w:p>
      <w:pPr>
        <w:tabs>
          <w:tab w:val="left" w:pos="540"/>
          <w:tab w:val="left" w:pos="900"/>
          <w:tab w:val="left" w:pos="3420"/>
        </w:tabs>
        <w:spacing w:line="360" w:lineRule="auto"/>
        <w:outlineLvl w:val="1"/>
        <w:rPr>
          <w:b/>
          <w:szCs w:val="21"/>
        </w:rPr>
      </w:pPr>
      <w:bookmarkStart w:id="4" w:name="_Toc18057_WPSOffice_Level2"/>
      <w:r>
        <w:rPr>
          <w:rFonts w:hint="eastAsia"/>
          <w:b/>
          <w:szCs w:val="21"/>
        </w:rPr>
        <w:t>二、招标文件的澄清</w:t>
      </w:r>
      <w:bookmarkEnd w:id="4"/>
    </w:p>
    <w:p>
      <w:pPr>
        <w:tabs>
          <w:tab w:val="left" w:pos="0"/>
          <w:tab w:val="left" w:pos="540"/>
          <w:tab w:val="left" w:pos="3420"/>
        </w:tabs>
        <w:spacing w:line="360" w:lineRule="auto"/>
        <w:rPr>
          <w:szCs w:val="21"/>
        </w:rPr>
      </w:pPr>
      <w:r>
        <w:rPr>
          <w:rFonts w:hint="eastAsia"/>
          <w:szCs w:val="21"/>
        </w:rPr>
        <w:t xml:space="preserve">    1、投标人在收到招标文件和勘察现场后，如有疑问需要对招标文件进行澄清，应于收到招标文件后</w:t>
      </w:r>
      <w:r>
        <w:rPr>
          <w:rFonts w:hint="eastAsia"/>
          <w:szCs w:val="21"/>
          <w:lang w:val="en-US" w:eastAsia="zh-CN"/>
        </w:rPr>
        <w:t>2</w:t>
      </w:r>
      <w:r>
        <w:rPr>
          <w:rFonts w:hint="eastAsia"/>
          <w:szCs w:val="21"/>
        </w:rPr>
        <w:t>日内以书面形式并加盖公章（包括文字、传真）通知招标人。</w:t>
      </w:r>
    </w:p>
    <w:p>
      <w:pPr>
        <w:tabs>
          <w:tab w:val="left" w:pos="0"/>
          <w:tab w:val="left" w:pos="540"/>
          <w:tab w:val="left" w:pos="3420"/>
        </w:tabs>
        <w:spacing w:line="360" w:lineRule="auto"/>
        <w:ind w:firstLine="440" w:firstLineChars="200"/>
        <w:rPr>
          <w:szCs w:val="21"/>
        </w:rPr>
      </w:pPr>
      <w:r>
        <w:rPr>
          <w:rFonts w:hint="eastAsia"/>
          <w:szCs w:val="21"/>
        </w:rPr>
        <w:t>2、招标人对收到的要求澄清的问题，将以书面形式答复。</w:t>
      </w:r>
    </w:p>
    <w:p>
      <w:pPr>
        <w:tabs>
          <w:tab w:val="left" w:pos="0"/>
          <w:tab w:val="left" w:pos="540"/>
          <w:tab w:val="left" w:pos="3420"/>
        </w:tabs>
        <w:spacing w:line="360" w:lineRule="auto"/>
        <w:ind w:firstLine="440" w:firstLineChars="200"/>
        <w:rPr>
          <w:szCs w:val="21"/>
        </w:rPr>
      </w:pPr>
      <w:r>
        <w:rPr>
          <w:rFonts w:hint="eastAsia"/>
          <w:szCs w:val="21"/>
        </w:rPr>
        <w:t>3、投标人对招标文件自行做出的解释、推论和应用，招标人概不负责，投标人由于对招标文件的任何误解所造成的后果，均由投标人负责。</w:t>
      </w:r>
    </w:p>
    <w:p>
      <w:pPr>
        <w:tabs>
          <w:tab w:val="left" w:pos="540"/>
          <w:tab w:val="left" w:pos="900"/>
          <w:tab w:val="left" w:pos="3420"/>
        </w:tabs>
        <w:spacing w:line="360" w:lineRule="auto"/>
        <w:rPr>
          <w:b/>
          <w:szCs w:val="21"/>
        </w:rPr>
      </w:pPr>
    </w:p>
    <w:p>
      <w:pPr>
        <w:tabs>
          <w:tab w:val="left" w:pos="540"/>
          <w:tab w:val="left" w:pos="900"/>
          <w:tab w:val="left" w:pos="3420"/>
        </w:tabs>
        <w:spacing w:line="360" w:lineRule="auto"/>
        <w:outlineLvl w:val="1"/>
        <w:rPr>
          <w:b/>
          <w:szCs w:val="21"/>
        </w:rPr>
      </w:pPr>
      <w:bookmarkStart w:id="5" w:name="_Toc18534_WPSOffice_Level2"/>
      <w:r>
        <w:rPr>
          <w:rFonts w:hint="eastAsia"/>
          <w:b/>
          <w:szCs w:val="21"/>
        </w:rPr>
        <w:t>三、招标文件的修改</w:t>
      </w:r>
      <w:bookmarkEnd w:id="5"/>
    </w:p>
    <w:p>
      <w:pPr>
        <w:tabs>
          <w:tab w:val="left" w:pos="540"/>
          <w:tab w:val="left" w:pos="900"/>
          <w:tab w:val="left" w:pos="3420"/>
        </w:tabs>
        <w:spacing w:line="360" w:lineRule="auto"/>
        <w:rPr>
          <w:szCs w:val="21"/>
        </w:rPr>
      </w:pPr>
      <w:r>
        <w:rPr>
          <w:rFonts w:hint="eastAsia"/>
          <w:szCs w:val="21"/>
        </w:rPr>
        <w:t xml:space="preserve">    1、在投标截止期前</w:t>
      </w:r>
      <w:r>
        <w:rPr>
          <w:rFonts w:hint="eastAsia"/>
          <w:szCs w:val="21"/>
          <w:lang w:val="en-US" w:eastAsia="zh-CN"/>
        </w:rPr>
        <w:t>2</w:t>
      </w:r>
      <w:r>
        <w:rPr>
          <w:rFonts w:hint="eastAsia"/>
          <w:szCs w:val="21"/>
        </w:rPr>
        <w:t>天，招标人可能会以补充通知的方式修改招标文件。补充通知作为招标文件的组成部分将以</w:t>
      </w:r>
      <w:r>
        <w:rPr>
          <w:rFonts w:hint="eastAsia"/>
          <w:szCs w:val="21"/>
          <w:lang w:eastAsia="zh-CN"/>
        </w:rPr>
        <w:t>网站公告</w:t>
      </w:r>
      <w:r>
        <w:rPr>
          <w:rFonts w:hint="eastAsia"/>
          <w:szCs w:val="21"/>
        </w:rPr>
        <w:t>形式发</w:t>
      </w:r>
      <w:r>
        <w:rPr>
          <w:rFonts w:hint="eastAsia"/>
          <w:szCs w:val="21"/>
          <w:lang w:eastAsia="zh-CN"/>
        </w:rPr>
        <w:t>布（网址：</w:t>
      </w:r>
      <w:r>
        <w:rPr>
          <w:rFonts w:hint="eastAsia" w:ascii="宋体" w:hAnsi="宋体" w:cs="宋体"/>
          <w:color w:val="000000"/>
          <w:kern w:val="0"/>
          <w:sz w:val="23"/>
          <w:szCs w:val="23"/>
        </w:rPr>
        <w:t>http://www.xcchengjian.com/</w:t>
      </w:r>
      <w:r>
        <w:rPr>
          <w:rFonts w:hint="eastAsia"/>
          <w:szCs w:val="21"/>
          <w:lang w:eastAsia="zh-CN"/>
        </w:rPr>
        <w:t>）</w:t>
      </w:r>
      <w:r>
        <w:rPr>
          <w:rFonts w:hint="eastAsia"/>
          <w:szCs w:val="21"/>
        </w:rPr>
        <w:t>。</w:t>
      </w:r>
    </w:p>
    <w:p>
      <w:pPr>
        <w:tabs>
          <w:tab w:val="left" w:pos="540"/>
          <w:tab w:val="left" w:pos="900"/>
          <w:tab w:val="left" w:pos="3420"/>
        </w:tabs>
        <w:spacing w:line="360" w:lineRule="auto"/>
        <w:ind w:firstLine="431" w:firstLineChars="196"/>
        <w:rPr>
          <w:szCs w:val="21"/>
        </w:rPr>
      </w:pPr>
      <w:r>
        <w:rPr>
          <w:rFonts w:hint="eastAsia"/>
          <w:szCs w:val="21"/>
        </w:rPr>
        <w:t>2、当招标文件与补充通知相矛盾时，以最后发出的补充通知为准。</w:t>
      </w:r>
    </w:p>
    <w:p>
      <w:pPr>
        <w:spacing w:line="360" w:lineRule="auto"/>
        <w:ind w:left="968" w:leftChars="195" w:hanging="539" w:hangingChars="245"/>
        <w:rPr>
          <w:rFonts w:hint="eastAsia"/>
          <w:szCs w:val="21"/>
        </w:rPr>
      </w:pPr>
      <w:r>
        <w:rPr>
          <w:rFonts w:hint="eastAsia"/>
          <w:szCs w:val="21"/>
        </w:rPr>
        <w:t>3、在编制投标文件过程中，招标人可随时对投标人进行考察。</w:t>
      </w:r>
    </w:p>
    <w:p>
      <w:pPr>
        <w:pStyle w:val="2"/>
      </w:pPr>
    </w:p>
    <w:p>
      <w:pPr>
        <w:spacing w:line="360" w:lineRule="auto"/>
        <w:jc w:val="center"/>
        <w:outlineLvl w:val="0"/>
        <w:rPr>
          <w:b/>
          <w:bCs/>
          <w:sz w:val="32"/>
          <w:szCs w:val="32"/>
        </w:rPr>
      </w:pPr>
      <w:bookmarkStart w:id="6" w:name="_Toc14355_WPSOffice_Level1"/>
      <w:r>
        <w:rPr>
          <w:rFonts w:hint="eastAsia"/>
          <w:b/>
          <w:bCs/>
          <w:sz w:val="32"/>
          <w:szCs w:val="32"/>
        </w:rPr>
        <w:t>第二章  投标须知</w:t>
      </w:r>
      <w:bookmarkEnd w:id="6"/>
    </w:p>
    <w:p>
      <w:pPr>
        <w:spacing w:line="360" w:lineRule="auto"/>
        <w:outlineLvl w:val="1"/>
        <w:rPr>
          <w:b/>
          <w:szCs w:val="21"/>
        </w:rPr>
      </w:pPr>
      <w:bookmarkStart w:id="7" w:name="_Toc23156_WPSOffice_Level2"/>
      <w:r>
        <w:rPr>
          <w:rFonts w:hint="eastAsia"/>
          <w:b/>
          <w:szCs w:val="21"/>
        </w:rPr>
        <w:t>一、前附表</w:t>
      </w:r>
      <w:bookmarkEnd w:id="7"/>
    </w:p>
    <w:p>
      <w:pPr>
        <w:spacing w:line="360" w:lineRule="auto"/>
        <w:rPr>
          <w:b/>
          <w:szCs w:val="21"/>
        </w:rPr>
      </w:pPr>
    </w:p>
    <w:tbl>
      <w:tblPr>
        <w:tblStyle w:val="9"/>
        <w:tblW w:w="8565"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00"/>
        <w:gridCol w:w="1440"/>
        <w:gridCol w:w="532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800" w:type="dxa"/>
            <w:tcBorders>
              <w:top w:val="single" w:color="auto" w:sz="4" w:space="0"/>
              <w:left w:val="single" w:color="auto" w:sz="4" w:space="0"/>
              <w:bottom w:val="single" w:color="auto" w:sz="4" w:space="0"/>
              <w:right w:val="single" w:color="auto" w:sz="4" w:space="0"/>
            </w:tcBorders>
            <w:vAlign w:val="center"/>
          </w:tcPr>
          <w:p>
            <w:pPr>
              <w:tabs>
                <w:tab w:val="left" w:pos="900"/>
              </w:tabs>
              <w:jc w:val="center"/>
              <w:rPr>
                <w:szCs w:val="21"/>
              </w:rPr>
            </w:pPr>
            <w:r>
              <w:rPr>
                <w:rFonts w:hint="eastAsia"/>
                <w:szCs w:val="21"/>
              </w:rPr>
              <w:t>招标人</w:t>
            </w:r>
          </w:p>
        </w:tc>
        <w:tc>
          <w:tcPr>
            <w:tcW w:w="6765" w:type="dxa"/>
            <w:gridSpan w:val="2"/>
            <w:tcBorders>
              <w:top w:val="single" w:color="auto" w:sz="4" w:space="0"/>
              <w:left w:val="single" w:color="auto" w:sz="4" w:space="0"/>
              <w:bottom w:val="single" w:color="auto" w:sz="4" w:space="0"/>
              <w:right w:val="single" w:color="auto" w:sz="4" w:space="0"/>
            </w:tcBorders>
            <w:vAlign w:val="center"/>
          </w:tcPr>
          <w:p>
            <w:pPr>
              <w:tabs>
                <w:tab w:val="left" w:pos="900"/>
              </w:tabs>
              <w:jc w:val="center"/>
              <w:rPr>
                <w:rFonts w:hint="eastAsia" w:eastAsia="宋体"/>
                <w:szCs w:val="21"/>
                <w:lang w:val="en-US" w:eastAsia="zh-CN"/>
              </w:rPr>
            </w:pPr>
            <w:r>
              <w:rPr>
                <w:rFonts w:hint="eastAsia"/>
                <w:szCs w:val="21"/>
                <w:lang w:val="en-US" w:eastAsia="zh-CN"/>
              </w:rPr>
              <w:t>宣城城建房地产营销策划有限公司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800" w:type="dxa"/>
            <w:tcBorders>
              <w:top w:val="single" w:color="auto" w:sz="4" w:space="0"/>
              <w:left w:val="single" w:color="auto" w:sz="4" w:space="0"/>
              <w:bottom w:val="single" w:color="auto" w:sz="4" w:space="0"/>
              <w:right w:val="single" w:color="auto" w:sz="4" w:space="0"/>
            </w:tcBorders>
            <w:vAlign w:val="center"/>
          </w:tcPr>
          <w:p>
            <w:pPr>
              <w:tabs>
                <w:tab w:val="left" w:pos="900"/>
              </w:tabs>
              <w:jc w:val="center"/>
              <w:rPr>
                <w:szCs w:val="21"/>
              </w:rPr>
            </w:pPr>
            <w:r>
              <w:rPr>
                <w:rFonts w:hint="eastAsia"/>
                <w:szCs w:val="21"/>
              </w:rPr>
              <w:t>项目地点</w:t>
            </w:r>
          </w:p>
        </w:tc>
        <w:tc>
          <w:tcPr>
            <w:tcW w:w="6765" w:type="dxa"/>
            <w:gridSpan w:val="2"/>
            <w:tcBorders>
              <w:top w:val="single" w:color="auto" w:sz="4" w:space="0"/>
              <w:left w:val="single" w:color="auto" w:sz="4" w:space="0"/>
              <w:bottom w:val="single" w:color="auto" w:sz="4" w:space="0"/>
              <w:right w:val="single" w:color="auto" w:sz="4" w:space="0"/>
            </w:tcBorders>
            <w:vAlign w:val="center"/>
          </w:tcPr>
          <w:p>
            <w:pPr>
              <w:widowControl/>
              <w:spacing w:before="100" w:beforeAutospacing="1" w:after="100" w:afterAutospacing="1" w:line="300" w:lineRule="atLeast"/>
              <w:jc w:val="center"/>
              <w:rPr>
                <w:rFonts w:hint="eastAsia" w:eastAsia="宋体"/>
                <w:szCs w:val="21"/>
                <w:lang w:eastAsia="zh-CN"/>
              </w:rPr>
            </w:pPr>
            <w:r>
              <w:rPr>
                <w:rFonts w:hint="eastAsia"/>
                <w:szCs w:val="21"/>
                <w:lang w:val="en-US" w:eastAsia="zh-CN"/>
              </w:rPr>
              <w:t>阳德西路与卜村路交叉口（老建材市场对面）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7" w:hRule="atLeast"/>
        </w:trPr>
        <w:tc>
          <w:tcPr>
            <w:tcW w:w="1800" w:type="dxa"/>
            <w:tcBorders>
              <w:top w:val="single" w:color="auto" w:sz="4" w:space="0"/>
              <w:left w:val="single" w:color="auto" w:sz="4" w:space="0"/>
              <w:bottom w:val="single" w:color="auto" w:sz="4" w:space="0"/>
              <w:right w:val="single" w:color="auto" w:sz="4" w:space="0"/>
            </w:tcBorders>
            <w:vAlign w:val="center"/>
          </w:tcPr>
          <w:p>
            <w:pPr>
              <w:tabs>
                <w:tab w:val="left" w:pos="900"/>
              </w:tabs>
              <w:jc w:val="center"/>
              <w:rPr>
                <w:szCs w:val="21"/>
              </w:rPr>
            </w:pPr>
            <w:r>
              <w:rPr>
                <w:rFonts w:hint="eastAsia"/>
                <w:szCs w:val="21"/>
              </w:rPr>
              <w:t>招标方式</w:t>
            </w:r>
          </w:p>
        </w:tc>
        <w:tc>
          <w:tcPr>
            <w:tcW w:w="6765" w:type="dxa"/>
            <w:gridSpan w:val="2"/>
            <w:tcBorders>
              <w:top w:val="single" w:color="auto" w:sz="4" w:space="0"/>
              <w:left w:val="single" w:color="auto" w:sz="4" w:space="0"/>
              <w:bottom w:val="single" w:color="auto" w:sz="4" w:space="0"/>
              <w:right w:val="single" w:color="auto" w:sz="4" w:space="0"/>
            </w:tcBorders>
            <w:vAlign w:val="center"/>
          </w:tcPr>
          <w:p>
            <w:pPr>
              <w:tabs>
                <w:tab w:val="left" w:pos="900"/>
              </w:tabs>
              <w:jc w:val="center"/>
              <w:rPr>
                <w:szCs w:val="21"/>
              </w:rPr>
            </w:pPr>
            <w:r>
              <w:rPr>
                <w:rFonts w:hint="eastAsia"/>
                <w:szCs w:val="21"/>
                <w:lang w:eastAsia="zh-CN"/>
              </w:rPr>
              <w:t>公开</w:t>
            </w:r>
            <w:r>
              <w:rPr>
                <w:rFonts w:hint="eastAsia"/>
                <w:szCs w:val="21"/>
              </w:rPr>
              <w:t>招标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800" w:type="dxa"/>
            <w:tcBorders>
              <w:top w:val="single" w:color="auto" w:sz="4" w:space="0"/>
              <w:left w:val="single" w:color="auto" w:sz="4" w:space="0"/>
              <w:bottom w:val="single" w:color="auto" w:sz="4" w:space="0"/>
              <w:right w:val="single" w:color="auto" w:sz="4" w:space="0"/>
            </w:tcBorders>
            <w:vAlign w:val="center"/>
          </w:tcPr>
          <w:p>
            <w:pPr>
              <w:tabs>
                <w:tab w:val="left" w:pos="900"/>
              </w:tabs>
              <w:jc w:val="center"/>
              <w:rPr>
                <w:szCs w:val="21"/>
              </w:rPr>
            </w:pPr>
            <w:r>
              <w:rPr>
                <w:rFonts w:hint="eastAsia"/>
                <w:szCs w:val="21"/>
              </w:rPr>
              <w:t>招标范围</w:t>
            </w:r>
          </w:p>
        </w:tc>
        <w:tc>
          <w:tcPr>
            <w:tcW w:w="6765" w:type="dxa"/>
            <w:gridSpan w:val="2"/>
            <w:tcBorders>
              <w:top w:val="single" w:color="auto" w:sz="4" w:space="0"/>
              <w:left w:val="single" w:color="auto" w:sz="4" w:space="0"/>
              <w:bottom w:val="single" w:color="auto" w:sz="4" w:space="0"/>
              <w:right w:val="single" w:color="auto" w:sz="4" w:space="0"/>
            </w:tcBorders>
            <w:vAlign w:val="center"/>
          </w:tcPr>
          <w:p>
            <w:pPr>
              <w:tabs>
                <w:tab w:val="left" w:pos="900"/>
              </w:tabs>
              <w:jc w:val="center"/>
              <w:rPr>
                <w:szCs w:val="21"/>
              </w:rPr>
            </w:pPr>
            <w:r>
              <w:rPr>
                <w:rFonts w:hint="eastAsia"/>
                <w:lang w:eastAsia="zh-CN"/>
              </w:rPr>
              <w:t>城建世纪阳江项目住宅部分销售代理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800" w:type="dxa"/>
            <w:tcBorders>
              <w:top w:val="single" w:color="auto" w:sz="4" w:space="0"/>
              <w:left w:val="single" w:color="auto" w:sz="4" w:space="0"/>
              <w:bottom w:val="single" w:color="auto" w:sz="4" w:space="0"/>
              <w:right w:val="single" w:color="auto" w:sz="4" w:space="0"/>
            </w:tcBorders>
            <w:vAlign w:val="center"/>
          </w:tcPr>
          <w:p>
            <w:pPr>
              <w:tabs>
                <w:tab w:val="left" w:pos="900"/>
              </w:tabs>
              <w:jc w:val="center"/>
              <w:rPr>
                <w:szCs w:val="21"/>
              </w:rPr>
            </w:pPr>
            <w:r>
              <w:rPr>
                <w:rFonts w:hint="eastAsia"/>
                <w:szCs w:val="21"/>
              </w:rPr>
              <w:t>合作内容</w:t>
            </w:r>
          </w:p>
        </w:tc>
        <w:tc>
          <w:tcPr>
            <w:tcW w:w="6765" w:type="dxa"/>
            <w:gridSpan w:val="2"/>
            <w:tcBorders>
              <w:top w:val="single" w:color="auto" w:sz="4" w:space="0"/>
              <w:left w:val="single" w:color="auto" w:sz="4" w:space="0"/>
              <w:bottom w:val="single" w:color="auto" w:sz="4" w:space="0"/>
              <w:right w:val="single" w:color="auto" w:sz="4" w:space="0"/>
            </w:tcBorders>
            <w:vAlign w:val="center"/>
          </w:tcPr>
          <w:p>
            <w:pPr>
              <w:tabs>
                <w:tab w:val="left" w:pos="900"/>
              </w:tabs>
              <w:jc w:val="center"/>
              <w:rPr>
                <w:rFonts w:hint="eastAsia" w:eastAsia="宋体"/>
                <w:szCs w:val="21"/>
                <w:lang w:eastAsia="zh-CN"/>
              </w:rPr>
            </w:pPr>
            <w:r>
              <w:rPr>
                <w:rFonts w:hint="eastAsia"/>
                <w:szCs w:val="21"/>
                <w:lang w:eastAsia="zh-CN"/>
              </w:rPr>
              <w:t>销售代理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800" w:type="dxa"/>
            <w:tcBorders>
              <w:top w:val="single" w:color="auto" w:sz="4" w:space="0"/>
              <w:left w:val="single" w:color="auto" w:sz="4" w:space="0"/>
              <w:bottom w:val="single" w:color="auto" w:sz="4" w:space="0"/>
              <w:right w:val="single" w:color="auto" w:sz="4" w:space="0"/>
            </w:tcBorders>
            <w:vAlign w:val="center"/>
          </w:tcPr>
          <w:p>
            <w:pPr>
              <w:tabs>
                <w:tab w:val="left" w:pos="900"/>
              </w:tabs>
              <w:jc w:val="center"/>
              <w:rPr>
                <w:szCs w:val="21"/>
                <w:lang w:val="en-US"/>
              </w:rPr>
            </w:pPr>
            <w:r>
              <w:rPr>
                <w:rFonts w:hint="eastAsia"/>
                <w:szCs w:val="21"/>
                <w:lang w:val="en-US"/>
              </w:rPr>
              <w:t>代理期限</w:t>
            </w:r>
          </w:p>
        </w:tc>
        <w:tc>
          <w:tcPr>
            <w:tcW w:w="6765" w:type="dxa"/>
            <w:gridSpan w:val="2"/>
            <w:tcBorders>
              <w:top w:val="single" w:color="auto" w:sz="4" w:space="0"/>
              <w:left w:val="single" w:color="auto" w:sz="4" w:space="0"/>
              <w:bottom w:val="single" w:color="auto" w:sz="4" w:space="0"/>
              <w:right w:val="single" w:color="auto" w:sz="4" w:space="0"/>
            </w:tcBorders>
            <w:vAlign w:val="center"/>
          </w:tcPr>
          <w:p>
            <w:pPr>
              <w:tabs>
                <w:tab w:val="left" w:pos="900"/>
              </w:tabs>
              <w:jc w:val="center"/>
              <w:rPr>
                <w:rFonts w:hint="eastAsia" w:eastAsia="宋体"/>
                <w:szCs w:val="21"/>
                <w:lang w:val="en-US" w:eastAsia="zh-CN"/>
              </w:rPr>
            </w:pPr>
            <w:r>
              <w:rPr>
                <w:rFonts w:hint="eastAsia"/>
                <w:color w:val="auto"/>
                <w:szCs w:val="21"/>
                <w:lang w:val="en-US"/>
              </w:rPr>
              <w:t>合同</w:t>
            </w:r>
            <w:r>
              <w:rPr>
                <w:rFonts w:hint="eastAsia"/>
                <w:color w:val="auto"/>
                <w:szCs w:val="21"/>
                <w:lang w:val="en-US" w:eastAsia="zh-CN"/>
              </w:rPr>
              <w:t>期六个月（自合同签订日起）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13" w:hRule="atLeast"/>
        </w:trPr>
        <w:tc>
          <w:tcPr>
            <w:tcW w:w="1800" w:type="dxa"/>
            <w:tcBorders>
              <w:top w:val="single" w:color="auto" w:sz="4" w:space="0"/>
              <w:left w:val="single" w:color="auto" w:sz="4" w:space="0"/>
              <w:right w:val="single" w:color="auto" w:sz="4" w:space="0"/>
            </w:tcBorders>
            <w:vAlign w:val="center"/>
          </w:tcPr>
          <w:p>
            <w:pPr>
              <w:widowControl/>
              <w:jc w:val="center"/>
              <w:rPr>
                <w:szCs w:val="21"/>
              </w:rPr>
            </w:pPr>
            <w:r>
              <w:rPr>
                <w:rFonts w:hint="eastAsia"/>
                <w:szCs w:val="21"/>
              </w:rPr>
              <w:t>投标有效期</w:t>
            </w:r>
          </w:p>
        </w:tc>
        <w:tc>
          <w:tcPr>
            <w:tcW w:w="6765" w:type="dxa"/>
            <w:gridSpan w:val="2"/>
            <w:tcBorders>
              <w:top w:val="single" w:color="auto" w:sz="4" w:space="0"/>
              <w:left w:val="single" w:color="auto" w:sz="4" w:space="0"/>
              <w:right w:val="single" w:color="auto" w:sz="4" w:space="0"/>
            </w:tcBorders>
            <w:vAlign w:val="center"/>
          </w:tcPr>
          <w:p>
            <w:pPr>
              <w:tabs>
                <w:tab w:val="left" w:pos="900"/>
              </w:tabs>
              <w:jc w:val="center"/>
              <w:rPr>
                <w:szCs w:val="21"/>
              </w:rPr>
            </w:pPr>
            <w:r>
              <w:rPr>
                <w:rFonts w:hint="eastAsia"/>
                <w:szCs w:val="21"/>
              </w:rPr>
              <w:t>开标日至招标人发出中标通知书后5天内有效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800" w:type="dxa"/>
            <w:tcBorders>
              <w:top w:val="single" w:color="auto" w:sz="4" w:space="0"/>
              <w:left w:val="single" w:color="auto" w:sz="4" w:space="0"/>
              <w:bottom w:val="single" w:color="auto" w:sz="4" w:space="0"/>
              <w:right w:val="single" w:color="auto" w:sz="4" w:space="0"/>
            </w:tcBorders>
            <w:vAlign w:val="center"/>
          </w:tcPr>
          <w:p>
            <w:pPr>
              <w:tabs>
                <w:tab w:val="left" w:pos="900"/>
              </w:tabs>
              <w:jc w:val="center"/>
              <w:rPr>
                <w:szCs w:val="21"/>
              </w:rPr>
            </w:pPr>
            <w:r>
              <w:rPr>
                <w:rFonts w:hint="eastAsia"/>
                <w:szCs w:val="21"/>
              </w:rPr>
              <w:t>投标文件份数</w:t>
            </w:r>
          </w:p>
        </w:tc>
        <w:tc>
          <w:tcPr>
            <w:tcW w:w="6765" w:type="dxa"/>
            <w:gridSpan w:val="2"/>
            <w:tcBorders>
              <w:top w:val="single" w:color="auto" w:sz="4" w:space="0"/>
              <w:left w:val="single" w:color="auto" w:sz="4" w:space="0"/>
              <w:bottom w:val="single" w:color="auto" w:sz="4" w:space="0"/>
              <w:right w:val="single" w:color="auto" w:sz="4" w:space="0"/>
            </w:tcBorders>
            <w:vAlign w:val="center"/>
          </w:tcPr>
          <w:p>
            <w:pPr>
              <w:tabs>
                <w:tab w:val="left" w:pos="900"/>
              </w:tabs>
              <w:jc w:val="center"/>
              <w:rPr>
                <w:szCs w:val="21"/>
              </w:rPr>
            </w:pPr>
            <w:r>
              <w:rPr>
                <w:rFonts w:hint="eastAsia"/>
                <w:szCs w:val="21"/>
              </w:rPr>
              <w:t>正本一套、副本贰套、投标文件电子档一份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800" w:type="dxa"/>
            <w:tcBorders>
              <w:top w:val="single" w:color="auto" w:sz="4" w:space="0"/>
              <w:left w:val="single" w:color="auto" w:sz="4" w:space="0"/>
              <w:bottom w:val="single" w:color="auto" w:sz="4" w:space="0"/>
              <w:right w:val="single" w:color="auto" w:sz="4" w:space="0"/>
            </w:tcBorders>
            <w:vAlign w:val="center"/>
          </w:tcPr>
          <w:p>
            <w:pPr>
              <w:tabs>
                <w:tab w:val="left" w:pos="900"/>
              </w:tabs>
              <w:jc w:val="center"/>
              <w:rPr>
                <w:szCs w:val="21"/>
              </w:rPr>
            </w:pPr>
            <w:r>
              <w:rPr>
                <w:rFonts w:hint="eastAsia"/>
                <w:szCs w:val="21"/>
              </w:rPr>
              <w:t>投标文件递交</w:t>
            </w:r>
          </w:p>
        </w:tc>
        <w:tc>
          <w:tcPr>
            <w:tcW w:w="6765" w:type="dxa"/>
            <w:gridSpan w:val="2"/>
            <w:tcBorders>
              <w:top w:val="single" w:color="auto" w:sz="4" w:space="0"/>
              <w:left w:val="single" w:color="auto" w:sz="4" w:space="0"/>
              <w:bottom w:val="single" w:color="auto" w:sz="4" w:space="0"/>
              <w:right w:val="single" w:color="auto" w:sz="4" w:space="0"/>
            </w:tcBorders>
            <w:vAlign w:val="center"/>
          </w:tcPr>
          <w:p>
            <w:pPr>
              <w:tabs>
                <w:tab w:val="left" w:pos="900"/>
              </w:tabs>
              <w:jc w:val="center"/>
              <w:rPr>
                <w:szCs w:val="21"/>
              </w:rPr>
            </w:pPr>
            <w:r>
              <w:rPr>
                <w:rFonts w:hint="eastAsia"/>
                <w:szCs w:val="21"/>
                <w:lang w:val="en-US" w:eastAsia="zh-CN"/>
              </w:rPr>
              <w:t>城建·世纪阳江营销中心二楼会议室（宣城市阳德西路与卜村南路交叉口）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800" w:type="dxa"/>
            <w:tcBorders>
              <w:top w:val="single" w:color="auto" w:sz="4" w:space="0"/>
              <w:left w:val="single" w:color="auto" w:sz="4" w:space="0"/>
              <w:bottom w:val="single" w:color="auto" w:sz="4" w:space="0"/>
              <w:right w:val="single" w:color="auto" w:sz="4" w:space="0"/>
            </w:tcBorders>
            <w:vAlign w:val="center"/>
          </w:tcPr>
          <w:p>
            <w:pPr>
              <w:tabs>
                <w:tab w:val="left" w:pos="900"/>
              </w:tabs>
              <w:jc w:val="center"/>
              <w:rPr>
                <w:szCs w:val="21"/>
              </w:rPr>
            </w:pPr>
            <w:r>
              <w:rPr>
                <w:rFonts w:hint="eastAsia"/>
                <w:szCs w:val="21"/>
              </w:rPr>
              <w:t>投标截止时间</w:t>
            </w:r>
          </w:p>
        </w:tc>
        <w:tc>
          <w:tcPr>
            <w:tcW w:w="6765" w:type="dxa"/>
            <w:gridSpan w:val="2"/>
            <w:tcBorders>
              <w:top w:val="single" w:color="auto" w:sz="4" w:space="0"/>
              <w:left w:val="single" w:color="auto" w:sz="4" w:space="0"/>
              <w:bottom w:val="single" w:color="auto" w:sz="4" w:space="0"/>
              <w:right w:val="single" w:color="auto" w:sz="4" w:space="0"/>
            </w:tcBorders>
            <w:vAlign w:val="center"/>
          </w:tcPr>
          <w:p>
            <w:pPr>
              <w:tabs>
                <w:tab w:val="left" w:pos="900"/>
                <w:tab w:val="left" w:pos="2397"/>
              </w:tabs>
              <w:jc w:val="center"/>
              <w:rPr>
                <w:szCs w:val="21"/>
              </w:rPr>
            </w:pPr>
            <w:r>
              <w:rPr>
                <w:rFonts w:hint="eastAsia" w:ascii="宋体" w:hAnsi="宋体" w:cs="宋体"/>
                <w:color w:val="000000"/>
                <w:kern w:val="0"/>
                <w:sz w:val="23"/>
                <w:szCs w:val="23"/>
              </w:rPr>
              <w:t>202</w:t>
            </w:r>
            <w:r>
              <w:rPr>
                <w:rFonts w:hint="eastAsia" w:ascii="宋体" w:hAnsi="宋体" w:cs="宋体"/>
                <w:color w:val="000000"/>
                <w:kern w:val="0"/>
                <w:sz w:val="23"/>
                <w:szCs w:val="23"/>
                <w:lang w:val="en-US" w:eastAsia="zh-CN"/>
              </w:rPr>
              <w:t>1</w:t>
            </w:r>
            <w:r>
              <w:rPr>
                <w:rFonts w:hint="eastAsia" w:ascii="宋体" w:hAnsi="宋体" w:cs="宋体"/>
                <w:color w:val="000000"/>
                <w:kern w:val="0"/>
                <w:sz w:val="23"/>
                <w:szCs w:val="23"/>
              </w:rPr>
              <w:t>年</w:t>
            </w:r>
            <w:r>
              <w:rPr>
                <w:rFonts w:hint="eastAsia" w:ascii="宋体" w:hAnsi="宋体" w:cs="宋体"/>
                <w:color w:val="000000"/>
                <w:kern w:val="0"/>
                <w:sz w:val="23"/>
                <w:szCs w:val="23"/>
                <w:lang w:val="en-US" w:eastAsia="zh-CN"/>
              </w:rPr>
              <w:t>8</w:t>
            </w:r>
            <w:r>
              <w:rPr>
                <w:rFonts w:hint="eastAsia" w:ascii="宋体" w:hAnsi="宋体" w:cs="宋体"/>
                <w:color w:val="000000"/>
                <w:kern w:val="0"/>
                <w:sz w:val="23"/>
                <w:szCs w:val="23"/>
              </w:rPr>
              <w:t>月</w:t>
            </w:r>
            <w:r>
              <w:rPr>
                <w:rFonts w:hint="eastAsia" w:ascii="宋体" w:hAnsi="宋体" w:cs="宋体"/>
                <w:color w:val="000000"/>
                <w:kern w:val="0"/>
                <w:sz w:val="23"/>
                <w:szCs w:val="23"/>
                <w:lang w:val="en-US" w:eastAsia="zh-CN"/>
              </w:rPr>
              <w:t>1</w:t>
            </w:r>
            <w:r>
              <w:rPr>
                <w:rFonts w:hint="eastAsia" w:cs="宋体"/>
                <w:color w:val="000000"/>
                <w:kern w:val="0"/>
                <w:sz w:val="23"/>
                <w:szCs w:val="23"/>
                <w:lang w:val="en-US" w:eastAsia="zh-CN"/>
              </w:rPr>
              <w:t>6</w:t>
            </w:r>
            <w:r>
              <w:rPr>
                <w:rFonts w:hint="eastAsia" w:ascii="宋体" w:hAnsi="宋体" w:cs="宋体"/>
                <w:color w:val="000000"/>
                <w:kern w:val="0"/>
                <w:sz w:val="23"/>
                <w:szCs w:val="23"/>
              </w:rPr>
              <w:t>日</w:t>
            </w:r>
            <w:r>
              <w:rPr>
                <w:rFonts w:hint="eastAsia" w:cs="宋体"/>
                <w:color w:val="000000"/>
                <w:kern w:val="0"/>
                <w:sz w:val="23"/>
                <w:szCs w:val="23"/>
                <w:lang w:eastAsia="zh-CN"/>
              </w:rPr>
              <w:t>上午</w:t>
            </w:r>
            <w:r>
              <w:rPr>
                <w:rFonts w:hint="eastAsia" w:cs="宋体"/>
                <w:color w:val="000000"/>
                <w:kern w:val="0"/>
                <w:sz w:val="23"/>
                <w:szCs w:val="23"/>
                <w:lang w:val="en-US" w:eastAsia="zh-CN"/>
              </w:rPr>
              <w:t>9点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800" w:type="dxa"/>
            <w:tcBorders>
              <w:top w:val="single" w:color="auto" w:sz="4" w:space="0"/>
              <w:left w:val="single" w:color="auto" w:sz="4" w:space="0"/>
              <w:bottom w:val="single" w:color="auto" w:sz="4" w:space="0"/>
              <w:right w:val="single" w:color="auto" w:sz="4" w:space="0"/>
            </w:tcBorders>
            <w:vAlign w:val="center"/>
          </w:tcPr>
          <w:p>
            <w:pPr>
              <w:tabs>
                <w:tab w:val="left" w:pos="900"/>
              </w:tabs>
              <w:jc w:val="center"/>
              <w:rPr>
                <w:szCs w:val="21"/>
              </w:rPr>
            </w:pPr>
            <w:r>
              <w:rPr>
                <w:rFonts w:hint="eastAsia"/>
                <w:szCs w:val="21"/>
              </w:rPr>
              <w:t>开标时间、地点</w:t>
            </w:r>
          </w:p>
        </w:tc>
        <w:tc>
          <w:tcPr>
            <w:tcW w:w="6765" w:type="dxa"/>
            <w:gridSpan w:val="2"/>
            <w:tcBorders>
              <w:top w:val="single" w:color="auto" w:sz="4" w:space="0"/>
              <w:left w:val="single" w:color="auto" w:sz="4" w:space="0"/>
              <w:bottom w:val="single" w:color="auto" w:sz="4" w:space="0"/>
              <w:right w:val="single" w:color="auto" w:sz="4" w:space="0"/>
            </w:tcBorders>
            <w:vAlign w:val="center"/>
          </w:tcPr>
          <w:p>
            <w:pPr>
              <w:tabs>
                <w:tab w:val="left" w:pos="900"/>
              </w:tabs>
              <w:jc w:val="center"/>
              <w:rPr>
                <w:rFonts w:hint="eastAsia" w:eastAsia="宋体"/>
                <w:szCs w:val="21"/>
                <w:lang w:val="en-US" w:eastAsia="zh-CN"/>
              </w:rPr>
            </w:pPr>
            <w:r>
              <w:rPr>
                <w:rFonts w:hint="eastAsia"/>
                <w:szCs w:val="21"/>
                <w:lang w:eastAsia="zh-CN"/>
              </w:rPr>
              <w:t>详见公告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6" w:hRule="atLeast"/>
        </w:trPr>
        <w:tc>
          <w:tcPr>
            <w:tcW w:w="1800" w:type="dxa"/>
            <w:tcBorders>
              <w:top w:val="single" w:color="auto" w:sz="4" w:space="0"/>
              <w:left w:val="single" w:color="auto" w:sz="4" w:space="0"/>
              <w:right w:val="single" w:color="auto" w:sz="4" w:space="0"/>
            </w:tcBorders>
            <w:vAlign w:val="center"/>
          </w:tcPr>
          <w:p>
            <w:pPr>
              <w:widowControl/>
              <w:jc w:val="center"/>
              <w:rPr>
                <w:szCs w:val="21"/>
              </w:rPr>
            </w:pPr>
            <w:r>
              <w:rPr>
                <w:rFonts w:hint="eastAsia"/>
                <w:szCs w:val="21"/>
              </w:rPr>
              <w:t>评标方式</w:t>
            </w:r>
          </w:p>
        </w:tc>
        <w:tc>
          <w:tcPr>
            <w:tcW w:w="6765" w:type="dxa"/>
            <w:gridSpan w:val="2"/>
            <w:tcBorders>
              <w:top w:val="single" w:color="auto" w:sz="4" w:space="0"/>
              <w:left w:val="single" w:color="auto" w:sz="4" w:space="0"/>
              <w:bottom w:val="single" w:color="auto" w:sz="4" w:space="0"/>
              <w:right w:val="single" w:color="auto" w:sz="4" w:space="0"/>
            </w:tcBorders>
            <w:vAlign w:val="center"/>
          </w:tcPr>
          <w:p>
            <w:pPr>
              <w:tabs>
                <w:tab w:val="left" w:pos="900"/>
              </w:tabs>
              <w:jc w:val="center"/>
              <w:rPr>
                <w:rFonts w:hint="eastAsia" w:eastAsia="宋体"/>
                <w:szCs w:val="21"/>
                <w:lang w:eastAsia="zh-CN"/>
              </w:rPr>
            </w:pPr>
            <w:r>
              <w:rPr>
                <w:rFonts w:hint="eastAsia"/>
                <w:szCs w:val="21"/>
              </w:rPr>
              <w:t>由招标人招标小组</w:t>
            </w:r>
            <w:r>
              <w:rPr>
                <w:rFonts w:hint="eastAsia"/>
                <w:szCs w:val="21"/>
                <w:lang w:eastAsia="zh-CN"/>
              </w:rPr>
              <w:t>评定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trPr>
        <w:tc>
          <w:tcPr>
            <w:tcW w:w="1800" w:type="dxa"/>
            <w:tcBorders>
              <w:top w:val="single" w:color="auto" w:sz="4" w:space="0"/>
              <w:left w:val="single" w:color="auto" w:sz="4" w:space="0"/>
              <w:right w:val="single" w:color="auto" w:sz="4" w:space="0"/>
            </w:tcBorders>
            <w:vAlign w:val="center"/>
          </w:tcPr>
          <w:p>
            <w:pPr>
              <w:widowControl/>
              <w:jc w:val="center"/>
              <w:rPr>
                <w:szCs w:val="21"/>
              </w:rPr>
            </w:pPr>
            <w:r>
              <w:rPr>
                <w:rFonts w:hint="eastAsia"/>
                <w:szCs w:val="21"/>
              </w:rPr>
              <w:t>联系方法</w:t>
            </w:r>
          </w:p>
        </w:tc>
        <w:tc>
          <w:tcPr>
            <w:tcW w:w="1440" w:type="dxa"/>
            <w:tcBorders>
              <w:top w:val="single" w:color="auto" w:sz="4" w:space="0"/>
              <w:left w:val="single" w:color="auto" w:sz="4" w:space="0"/>
              <w:bottom w:val="single" w:color="auto" w:sz="4" w:space="0"/>
              <w:right w:val="single" w:color="auto" w:sz="4" w:space="0"/>
            </w:tcBorders>
            <w:vAlign w:val="center"/>
          </w:tcPr>
          <w:p>
            <w:pPr>
              <w:tabs>
                <w:tab w:val="left" w:pos="900"/>
              </w:tabs>
              <w:jc w:val="center"/>
              <w:rPr>
                <w:szCs w:val="21"/>
              </w:rPr>
            </w:pPr>
            <w:r>
              <w:rPr>
                <w:rFonts w:hint="eastAsia"/>
                <w:szCs w:val="21"/>
              </w:rPr>
              <w:t>联系人</w:t>
            </w:r>
          </w:p>
        </w:tc>
        <w:tc>
          <w:tcPr>
            <w:tcW w:w="5325" w:type="dxa"/>
            <w:tcBorders>
              <w:top w:val="single" w:color="auto" w:sz="4" w:space="0"/>
              <w:left w:val="single" w:color="auto" w:sz="4" w:space="0"/>
              <w:bottom w:val="single" w:color="auto" w:sz="4" w:space="0"/>
              <w:right w:val="single" w:color="auto" w:sz="4" w:space="0"/>
            </w:tcBorders>
            <w:vAlign w:val="center"/>
          </w:tcPr>
          <w:p>
            <w:pPr>
              <w:tabs>
                <w:tab w:val="left" w:pos="900"/>
              </w:tabs>
              <w:rPr>
                <w:rFonts w:hint="default" w:eastAsia="宋体"/>
                <w:szCs w:val="21"/>
                <w:lang w:val="en-US" w:eastAsia="zh-CN"/>
              </w:rPr>
            </w:pPr>
            <w:r>
              <w:rPr>
                <w:rFonts w:hint="eastAsia"/>
                <w:szCs w:val="21"/>
                <w:lang w:val="en-US" w:eastAsia="zh-CN"/>
              </w:rPr>
              <w:t>刘磊13856317050</w:t>
            </w:r>
          </w:p>
        </w:tc>
      </w:tr>
    </w:tbl>
    <w:p/>
    <w:p>
      <w:pPr>
        <w:tabs>
          <w:tab w:val="left" w:pos="900"/>
        </w:tabs>
        <w:spacing w:line="360" w:lineRule="auto"/>
        <w:outlineLvl w:val="1"/>
        <w:rPr>
          <w:b/>
          <w:szCs w:val="21"/>
        </w:rPr>
      </w:pPr>
      <w:bookmarkStart w:id="8" w:name="_Toc27528_WPSOffice_Level2"/>
      <w:r>
        <w:rPr>
          <w:rFonts w:hint="eastAsia"/>
          <w:b/>
          <w:szCs w:val="21"/>
        </w:rPr>
        <w:t>二、定义</w:t>
      </w:r>
      <w:bookmarkEnd w:id="8"/>
    </w:p>
    <w:p>
      <w:pPr>
        <w:spacing w:line="360" w:lineRule="auto"/>
        <w:rPr>
          <w:szCs w:val="21"/>
        </w:rPr>
      </w:pPr>
      <w:r>
        <w:rPr>
          <w:rFonts w:hint="eastAsia"/>
          <w:szCs w:val="21"/>
        </w:rPr>
        <w:t xml:space="preserve">    本招标文件使用的下列词语汇具有如下规定的意义：</w:t>
      </w:r>
    </w:p>
    <w:p>
      <w:pPr>
        <w:spacing w:line="360" w:lineRule="auto"/>
        <w:rPr>
          <w:szCs w:val="21"/>
        </w:rPr>
      </w:pPr>
      <w:r>
        <w:rPr>
          <w:rFonts w:hint="eastAsia"/>
          <w:szCs w:val="21"/>
        </w:rPr>
        <w:t xml:space="preserve">    1、“招标人”指本招标项目的</w:t>
      </w:r>
      <w:r>
        <w:rPr>
          <w:rFonts w:hint="eastAsia"/>
          <w:szCs w:val="21"/>
          <w:lang w:eastAsia="zh-CN"/>
        </w:rPr>
        <w:t>全案代理</w:t>
      </w:r>
      <w:r>
        <w:rPr>
          <w:rFonts w:hint="eastAsia"/>
          <w:szCs w:val="21"/>
        </w:rPr>
        <w:t>企业</w:t>
      </w:r>
      <w:r>
        <w:rPr>
          <w:rFonts w:hint="eastAsia"/>
          <w:szCs w:val="21"/>
          <w:lang w:val="en-US" w:eastAsia="zh-CN"/>
        </w:rPr>
        <w:t>宣城城建房地产营销策划有限公司</w:t>
      </w:r>
      <w:r>
        <w:rPr>
          <w:rFonts w:hint="eastAsia"/>
          <w:szCs w:val="21"/>
        </w:rPr>
        <w:t xml:space="preserve"> （简称：</w:t>
      </w:r>
      <w:r>
        <w:rPr>
          <w:rFonts w:hint="eastAsia"/>
          <w:szCs w:val="21"/>
          <w:lang w:val="en-US" w:eastAsia="zh-CN"/>
        </w:rPr>
        <w:t>城建营销</w:t>
      </w:r>
      <w:r>
        <w:rPr>
          <w:rFonts w:hint="eastAsia"/>
          <w:szCs w:val="21"/>
        </w:rPr>
        <w:t>）；</w:t>
      </w:r>
    </w:p>
    <w:p>
      <w:pPr>
        <w:spacing w:line="360" w:lineRule="auto"/>
        <w:rPr>
          <w:szCs w:val="21"/>
        </w:rPr>
      </w:pPr>
      <w:r>
        <w:rPr>
          <w:rFonts w:hint="eastAsia"/>
          <w:szCs w:val="21"/>
        </w:rPr>
        <w:t xml:space="preserve">    2、“投标人”指符合资格并向</w:t>
      </w:r>
      <w:r>
        <w:rPr>
          <w:rFonts w:hint="eastAsia"/>
          <w:szCs w:val="21"/>
          <w:lang w:val="en-US" w:eastAsia="zh-CN"/>
        </w:rPr>
        <w:t>城建营销</w:t>
      </w:r>
      <w:r>
        <w:rPr>
          <w:rFonts w:hint="eastAsia"/>
          <w:szCs w:val="21"/>
        </w:rPr>
        <w:t>提交投标文件的单位；</w:t>
      </w:r>
    </w:p>
    <w:p>
      <w:pPr>
        <w:spacing w:line="360" w:lineRule="auto"/>
        <w:ind w:left="862" w:hanging="862" w:hangingChars="392"/>
        <w:rPr>
          <w:szCs w:val="21"/>
        </w:rPr>
      </w:pPr>
      <w:r>
        <w:rPr>
          <w:rFonts w:hint="eastAsia"/>
          <w:szCs w:val="21"/>
        </w:rPr>
        <w:t xml:space="preserve">    3、“招标文件”指由</w:t>
      </w:r>
      <w:r>
        <w:rPr>
          <w:rFonts w:hint="eastAsia"/>
          <w:szCs w:val="21"/>
          <w:lang w:val="en-US" w:eastAsia="zh-CN"/>
        </w:rPr>
        <w:t>城建营销</w:t>
      </w:r>
      <w:r>
        <w:rPr>
          <w:rFonts w:hint="eastAsia"/>
          <w:szCs w:val="21"/>
        </w:rPr>
        <w:t>发出的本文件，包括全部章节、修改文件、补充条款附录及为招标所发出的其他信函；</w:t>
      </w:r>
    </w:p>
    <w:p>
      <w:pPr>
        <w:spacing w:line="360" w:lineRule="auto"/>
        <w:rPr>
          <w:szCs w:val="21"/>
        </w:rPr>
      </w:pPr>
      <w:r>
        <w:rPr>
          <w:rFonts w:hint="eastAsia"/>
          <w:szCs w:val="21"/>
        </w:rPr>
        <w:t xml:space="preserve">    4、“投标文件”指投标人根据本招标文件向</w:t>
      </w:r>
      <w:r>
        <w:rPr>
          <w:rFonts w:hint="eastAsia"/>
          <w:szCs w:val="21"/>
          <w:lang w:val="en-US" w:eastAsia="zh-CN"/>
        </w:rPr>
        <w:t>城建营销</w:t>
      </w:r>
      <w:r>
        <w:rPr>
          <w:rFonts w:hint="eastAsia"/>
          <w:szCs w:val="21"/>
        </w:rPr>
        <w:t>提交的全部文件；</w:t>
      </w:r>
    </w:p>
    <w:p>
      <w:pPr>
        <w:tabs>
          <w:tab w:val="left" w:pos="720"/>
        </w:tabs>
        <w:spacing w:line="360" w:lineRule="auto"/>
        <w:ind w:left="858" w:leftChars="200" w:hanging="418" w:hangingChars="190"/>
        <w:rPr>
          <w:szCs w:val="21"/>
        </w:rPr>
      </w:pPr>
      <w:r>
        <w:rPr>
          <w:rFonts w:hint="eastAsia"/>
          <w:szCs w:val="21"/>
        </w:rPr>
        <w:t>5、“书面形式”指合同文件、信件和数据电文（包括电报、电传、传真、电子数据交换和电子邮件）等可以有形地表现所载内容的文件。</w:t>
      </w:r>
    </w:p>
    <w:p>
      <w:pPr>
        <w:tabs>
          <w:tab w:val="left" w:pos="900"/>
        </w:tabs>
        <w:spacing w:line="360" w:lineRule="auto"/>
        <w:ind w:left="981" w:leftChars="196" w:hanging="550" w:hangingChars="250"/>
        <w:rPr>
          <w:szCs w:val="21"/>
        </w:rPr>
      </w:pPr>
    </w:p>
    <w:p>
      <w:pPr>
        <w:tabs>
          <w:tab w:val="left" w:pos="900"/>
        </w:tabs>
        <w:spacing w:line="360" w:lineRule="auto"/>
        <w:outlineLvl w:val="1"/>
        <w:rPr>
          <w:b/>
          <w:szCs w:val="21"/>
        </w:rPr>
      </w:pPr>
      <w:bookmarkStart w:id="9" w:name="_Toc10839_WPSOffice_Level2"/>
      <w:r>
        <w:rPr>
          <w:rFonts w:hint="eastAsia"/>
          <w:b/>
          <w:szCs w:val="21"/>
        </w:rPr>
        <w:t>三、公司及项目概况</w:t>
      </w:r>
      <w:bookmarkEnd w:id="9"/>
    </w:p>
    <w:p>
      <w:pPr>
        <w:spacing w:line="360" w:lineRule="auto"/>
        <w:ind w:firstLine="440" w:firstLineChars="200"/>
        <w:rPr>
          <w:szCs w:val="21"/>
          <w:lang w:val="en-US"/>
        </w:rPr>
      </w:pPr>
      <w:r>
        <w:rPr>
          <w:rFonts w:hint="eastAsia"/>
          <w:szCs w:val="21"/>
          <w:lang w:val="en-US" w:eastAsia="zh-CN"/>
        </w:rPr>
        <w:t>宣城城建房地产营销策划有限公司</w:t>
      </w:r>
      <w:r>
        <w:rPr>
          <w:rFonts w:hint="eastAsia"/>
          <w:szCs w:val="21"/>
        </w:rPr>
        <w:t>是</w:t>
      </w:r>
      <w:r>
        <w:rPr>
          <w:rFonts w:hint="eastAsia"/>
          <w:szCs w:val="21"/>
          <w:lang w:eastAsia="zh-CN"/>
        </w:rPr>
        <w:t>宣城市城市建设集团</w:t>
      </w:r>
      <w:r>
        <w:rPr>
          <w:rFonts w:hint="eastAsia"/>
          <w:szCs w:val="21"/>
        </w:rPr>
        <w:t>有限公司的全资子公司，成立于</w:t>
      </w:r>
      <w:r>
        <w:rPr>
          <w:rFonts w:hint="eastAsia"/>
          <w:szCs w:val="21"/>
          <w:lang w:val="en-US" w:eastAsia="zh-CN"/>
        </w:rPr>
        <w:t>2020</w:t>
      </w:r>
      <w:r>
        <w:rPr>
          <w:rFonts w:hint="eastAsia"/>
          <w:szCs w:val="21"/>
        </w:rPr>
        <w:t>年</w:t>
      </w:r>
      <w:r>
        <w:rPr>
          <w:rFonts w:hint="eastAsia"/>
          <w:szCs w:val="21"/>
          <w:lang w:val="en-US" w:eastAsia="zh-CN"/>
        </w:rPr>
        <w:t>3</w:t>
      </w:r>
      <w:r>
        <w:rPr>
          <w:rFonts w:hint="eastAsia"/>
          <w:szCs w:val="21"/>
        </w:rPr>
        <w:t>月，注册资本</w:t>
      </w:r>
      <w:r>
        <w:rPr>
          <w:rFonts w:hint="eastAsia"/>
          <w:szCs w:val="21"/>
          <w:lang w:val="en-US" w:eastAsia="zh-CN"/>
        </w:rPr>
        <w:t>500</w:t>
      </w:r>
      <w:r>
        <w:rPr>
          <w:rFonts w:hint="eastAsia"/>
          <w:szCs w:val="21"/>
        </w:rPr>
        <w:t>万元，主要从事房地产</w:t>
      </w:r>
      <w:r>
        <w:rPr>
          <w:rFonts w:hint="eastAsia"/>
          <w:szCs w:val="21"/>
          <w:lang w:eastAsia="zh-CN"/>
        </w:rPr>
        <w:t>营销策划、楼盘销售代理</w:t>
      </w:r>
      <w:r>
        <w:rPr>
          <w:rFonts w:hint="eastAsia"/>
          <w:szCs w:val="21"/>
        </w:rPr>
        <w:t>。</w:t>
      </w:r>
      <w:r>
        <w:rPr>
          <w:rFonts w:hint="eastAsia"/>
          <w:szCs w:val="21"/>
          <w:lang w:val="en-US"/>
        </w:rPr>
        <w:t>目前</w:t>
      </w:r>
      <w:r>
        <w:rPr>
          <w:rFonts w:hint="eastAsia"/>
          <w:szCs w:val="21"/>
          <w:lang w:val="en-US" w:eastAsia="zh-CN"/>
        </w:rPr>
        <w:t>城建营销代理的项目</w:t>
      </w:r>
      <w:r>
        <w:rPr>
          <w:rFonts w:hint="eastAsia"/>
          <w:szCs w:val="21"/>
          <w:lang w:val="en-US"/>
        </w:rPr>
        <w:t>有</w:t>
      </w:r>
      <w:r>
        <w:rPr>
          <w:rFonts w:hint="eastAsia"/>
          <w:szCs w:val="21"/>
          <w:lang w:val="en-US" w:eastAsia="zh-CN"/>
        </w:rPr>
        <w:t>大唐国际城</w:t>
      </w:r>
      <w:r>
        <w:rPr>
          <w:rFonts w:hint="eastAsia"/>
          <w:szCs w:val="21"/>
          <w:lang w:val="en-US"/>
        </w:rPr>
        <w:t>、</w:t>
      </w:r>
      <w:r>
        <w:rPr>
          <w:rFonts w:hint="eastAsia"/>
          <w:szCs w:val="21"/>
          <w:lang w:val="en-US" w:eastAsia="zh-CN"/>
        </w:rPr>
        <w:t>城建世纪阳江</w:t>
      </w:r>
      <w:r>
        <w:rPr>
          <w:rFonts w:hint="eastAsia"/>
          <w:szCs w:val="21"/>
          <w:lang w:val="en-US"/>
        </w:rPr>
        <w:t>、</w:t>
      </w:r>
      <w:r>
        <w:rPr>
          <w:rFonts w:hint="eastAsia"/>
          <w:szCs w:val="21"/>
          <w:lang w:val="en-US" w:eastAsia="zh-CN"/>
        </w:rPr>
        <w:t>城建彩金湖畔</w:t>
      </w:r>
      <w:r>
        <w:rPr>
          <w:rFonts w:hint="eastAsia"/>
          <w:szCs w:val="21"/>
          <w:lang w:val="en-US"/>
        </w:rPr>
        <w:t>。</w:t>
      </w:r>
    </w:p>
    <w:p>
      <w:pPr>
        <w:spacing w:line="360" w:lineRule="auto"/>
        <w:ind w:firstLine="440" w:firstLineChars="200"/>
        <w:rPr>
          <w:rFonts w:hint="eastAsia"/>
          <w:szCs w:val="21"/>
          <w:lang w:eastAsia="zh-CN"/>
        </w:rPr>
      </w:pPr>
      <w:r>
        <w:rPr>
          <w:rFonts w:hint="eastAsia"/>
          <w:szCs w:val="21"/>
          <w:lang w:eastAsia="zh-CN"/>
        </w:rPr>
        <w:t>城建·世纪阳江项目位于阳德西路与卜村南路交叉口（距高铁站900米），是由国企城建集团开发，国企中建五局、市政集团建设，强强联手共同打造的高档小区。项目总建筑面积约面积 193296 ㎡，容积率 2.0，绿地率 31%，车位配比 1:1.1。是宣城市首个现房销售小区、首个智慧化小区、首个层高全3.05米小区，同时项目建筑密度仅 16%，造就了超宽楼间距，最高达 122.4 米，保证每家每户有充足的采光，形成了明厅、明卧、明厨、明卫的“四明”户型，每户拥有一间以上朝南卧室，并均拥有景观阳台。项目所用的建材都是一线品牌如马钢钢筋、东鹏瓷砖、 王力门、海螺水泥、通力电梯，让业主居住更舒心，质量更放心。</w:t>
      </w:r>
    </w:p>
    <w:p>
      <w:pPr>
        <w:pStyle w:val="2"/>
        <w:rPr>
          <w:lang w:val="en-US"/>
        </w:rPr>
      </w:pPr>
    </w:p>
    <w:p>
      <w:pPr>
        <w:tabs>
          <w:tab w:val="left" w:pos="900"/>
        </w:tabs>
        <w:spacing w:line="360" w:lineRule="auto"/>
        <w:outlineLvl w:val="1"/>
        <w:rPr>
          <w:b/>
          <w:szCs w:val="21"/>
        </w:rPr>
      </w:pPr>
      <w:bookmarkStart w:id="10" w:name="_Toc18361_WPSOffice_Level2"/>
      <w:r>
        <w:rPr>
          <w:rFonts w:hint="eastAsia"/>
          <w:b/>
          <w:szCs w:val="21"/>
        </w:rPr>
        <w:t>四、投标单位条件</w:t>
      </w:r>
      <w:bookmarkEnd w:id="10"/>
    </w:p>
    <w:p>
      <w:pPr>
        <w:spacing w:line="360" w:lineRule="auto"/>
        <w:ind w:firstLine="440" w:firstLineChars="200"/>
        <w:rPr>
          <w:szCs w:val="21"/>
        </w:rPr>
      </w:pPr>
      <w:r>
        <w:rPr>
          <w:rFonts w:hint="eastAsia"/>
          <w:szCs w:val="21"/>
        </w:rPr>
        <w:t>1、投标人须为独立法人，在营业执照经营范围中有体现房产经纪服务；</w:t>
      </w:r>
    </w:p>
    <w:p>
      <w:pPr>
        <w:spacing w:line="360" w:lineRule="auto"/>
        <w:ind w:firstLine="440" w:firstLineChars="200"/>
        <w:rPr>
          <w:szCs w:val="21"/>
          <w:highlight w:val="yellow"/>
        </w:rPr>
      </w:pPr>
      <w:r>
        <w:rPr>
          <w:rFonts w:hint="eastAsia"/>
          <w:szCs w:val="21"/>
        </w:rPr>
        <w:t>2、近三年具有2个以上全盘销售代理项目，累计合作合同面积达到30万平方米以上</w:t>
      </w:r>
      <w:r>
        <w:rPr>
          <w:rFonts w:hint="eastAsia"/>
          <w:szCs w:val="21"/>
          <w:lang w:eastAsia="zh-CN"/>
        </w:rPr>
        <w:t>，</w:t>
      </w:r>
      <w:r>
        <w:rPr>
          <w:rFonts w:hint="eastAsia"/>
          <w:color w:val="auto"/>
          <w:szCs w:val="21"/>
          <w:highlight w:val="none"/>
          <w:shd w:val="clear"/>
          <w:lang w:eastAsia="zh-CN"/>
        </w:rPr>
        <w:t>其中至少有一个单个合同面积不少于</w:t>
      </w:r>
      <w:r>
        <w:rPr>
          <w:rFonts w:hint="eastAsia"/>
          <w:color w:val="auto"/>
          <w:szCs w:val="21"/>
          <w:highlight w:val="none"/>
          <w:shd w:val="clear"/>
          <w:lang w:val="en-US" w:eastAsia="zh-CN"/>
        </w:rPr>
        <w:t>10万平方米销售代理项目</w:t>
      </w:r>
      <w:r>
        <w:rPr>
          <w:rFonts w:hint="eastAsia"/>
          <w:color w:val="auto"/>
          <w:szCs w:val="21"/>
          <w:highlight w:val="none"/>
          <w:shd w:val="clear"/>
        </w:rPr>
        <w:t>；</w:t>
      </w:r>
    </w:p>
    <w:p>
      <w:pPr>
        <w:spacing w:line="360" w:lineRule="auto"/>
        <w:ind w:firstLine="440" w:firstLineChars="200"/>
        <w:rPr>
          <w:rFonts w:hint="eastAsia" w:eastAsia="宋体"/>
          <w:szCs w:val="21"/>
          <w:lang w:eastAsia="zh-CN"/>
        </w:rPr>
      </w:pPr>
      <w:r>
        <w:rPr>
          <w:rFonts w:hint="eastAsia"/>
          <w:szCs w:val="21"/>
        </w:rPr>
        <w:t>3、具有多年二三线城市及</w:t>
      </w:r>
      <w:r>
        <w:rPr>
          <w:rFonts w:hint="eastAsia"/>
          <w:szCs w:val="21"/>
          <w:lang w:val="en-US" w:eastAsia="zh-CN"/>
        </w:rPr>
        <w:t>宣城市区或</w:t>
      </w:r>
      <w:r>
        <w:rPr>
          <w:rFonts w:hint="eastAsia"/>
          <w:szCs w:val="21"/>
          <w:lang w:val="en-US"/>
        </w:rPr>
        <w:t>周边县市</w:t>
      </w:r>
      <w:r>
        <w:rPr>
          <w:rFonts w:hint="eastAsia"/>
          <w:szCs w:val="21"/>
        </w:rPr>
        <w:t>项目</w:t>
      </w:r>
      <w:r>
        <w:rPr>
          <w:rFonts w:hint="eastAsia"/>
          <w:szCs w:val="21"/>
          <w:lang w:val="en-US"/>
        </w:rPr>
        <w:t>营销策划</w:t>
      </w:r>
      <w:r>
        <w:rPr>
          <w:rFonts w:hint="eastAsia"/>
          <w:szCs w:val="21"/>
        </w:rPr>
        <w:t>代理经验</w:t>
      </w:r>
      <w:r>
        <w:rPr>
          <w:rFonts w:hint="eastAsia"/>
          <w:szCs w:val="21"/>
          <w:lang w:eastAsia="zh-CN"/>
        </w:rPr>
        <w:t>。</w:t>
      </w:r>
    </w:p>
    <w:p>
      <w:pPr>
        <w:tabs>
          <w:tab w:val="left" w:pos="900"/>
        </w:tabs>
        <w:spacing w:line="360" w:lineRule="auto"/>
        <w:rPr>
          <w:b/>
          <w:szCs w:val="21"/>
        </w:rPr>
      </w:pPr>
    </w:p>
    <w:p>
      <w:pPr>
        <w:tabs>
          <w:tab w:val="left" w:pos="900"/>
        </w:tabs>
        <w:spacing w:line="360" w:lineRule="auto"/>
        <w:outlineLvl w:val="1"/>
        <w:rPr>
          <w:b/>
          <w:szCs w:val="21"/>
        </w:rPr>
      </w:pPr>
      <w:bookmarkStart w:id="11" w:name="_Toc4695_WPSOffice_Level2"/>
      <w:r>
        <w:rPr>
          <w:rFonts w:hint="eastAsia"/>
          <w:b/>
          <w:szCs w:val="21"/>
        </w:rPr>
        <w:t>五、投标费用</w:t>
      </w:r>
      <w:bookmarkEnd w:id="11"/>
    </w:p>
    <w:p>
      <w:pPr>
        <w:tabs>
          <w:tab w:val="left" w:pos="900"/>
        </w:tabs>
        <w:spacing w:line="360" w:lineRule="auto"/>
        <w:ind w:firstLine="420"/>
        <w:rPr>
          <w:szCs w:val="21"/>
        </w:rPr>
      </w:pPr>
      <w:r>
        <w:rPr>
          <w:rFonts w:hint="eastAsia"/>
          <w:szCs w:val="21"/>
        </w:rPr>
        <w:t>投标人应承担其编制投标文件以及递交投标文件所涉及的一切费用，无论投标结果如何，招标人对上述费用不负任何责任。</w:t>
      </w:r>
    </w:p>
    <w:p>
      <w:pPr>
        <w:tabs>
          <w:tab w:val="left" w:pos="900"/>
        </w:tabs>
        <w:spacing w:line="360" w:lineRule="auto"/>
        <w:ind w:firstLine="420"/>
        <w:rPr>
          <w:szCs w:val="21"/>
        </w:rPr>
      </w:pPr>
    </w:p>
    <w:p>
      <w:pPr>
        <w:spacing w:line="360" w:lineRule="auto"/>
        <w:outlineLvl w:val="1"/>
        <w:rPr>
          <w:b/>
          <w:bCs/>
          <w:szCs w:val="21"/>
          <w:lang w:val="en-US"/>
        </w:rPr>
      </w:pPr>
      <w:bookmarkStart w:id="12" w:name="_Toc31133_WPSOffice_Level2"/>
      <w:r>
        <w:rPr>
          <w:rFonts w:hint="eastAsia"/>
          <w:b/>
          <w:bCs/>
          <w:szCs w:val="21"/>
        </w:rPr>
        <w:t>六</w:t>
      </w:r>
      <w:bookmarkEnd w:id="12"/>
      <w:r>
        <w:rPr>
          <w:rFonts w:hint="eastAsia"/>
          <w:b/>
          <w:bCs/>
          <w:szCs w:val="21"/>
          <w:lang w:val="en-US"/>
        </w:rPr>
        <w:t>、</w:t>
      </w:r>
      <w:r>
        <w:rPr>
          <w:rFonts w:hint="eastAsia"/>
          <w:b/>
          <w:bCs/>
          <w:szCs w:val="21"/>
          <w:lang w:val="en-US" w:eastAsia="zh-CN"/>
        </w:rPr>
        <w:t>销售代理佣金</w:t>
      </w:r>
      <w:r>
        <w:rPr>
          <w:rFonts w:hint="eastAsia"/>
          <w:b/>
          <w:bCs/>
          <w:szCs w:val="21"/>
          <w:lang w:val="en-US"/>
        </w:rPr>
        <w:t>点数限定</w:t>
      </w:r>
    </w:p>
    <w:p>
      <w:pPr>
        <w:spacing w:line="360" w:lineRule="auto"/>
        <w:ind w:firstLine="440" w:firstLineChars="200"/>
        <w:rPr>
          <w:szCs w:val="21"/>
        </w:rPr>
      </w:pPr>
      <w:r>
        <w:rPr>
          <w:rFonts w:hint="eastAsia"/>
          <w:szCs w:val="21"/>
          <w:lang w:val="en-US" w:eastAsia="zh-CN"/>
        </w:rPr>
        <w:t>销售代理佣金</w:t>
      </w:r>
      <w:r>
        <w:rPr>
          <w:rFonts w:hint="eastAsia"/>
          <w:szCs w:val="21"/>
        </w:rPr>
        <w:t>按已完成销售金额</w:t>
      </w:r>
      <w:r>
        <w:rPr>
          <w:rFonts w:hint="eastAsia"/>
          <w:szCs w:val="21"/>
          <w:lang w:val="en-US"/>
        </w:rPr>
        <w:t>的百分比计费</w:t>
      </w:r>
      <w:r>
        <w:rPr>
          <w:rFonts w:hint="eastAsia"/>
          <w:szCs w:val="21"/>
          <w:lang w:val="en-US" w:eastAsia="zh-CN"/>
        </w:rPr>
        <w:t>，</w:t>
      </w:r>
      <w:r>
        <w:rPr>
          <w:rFonts w:hint="eastAsia"/>
          <w:szCs w:val="21"/>
          <w:lang w:val="en-US"/>
        </w:rPr>
        <w:t>控制为</w:t>
      </w:r>
      <w:r>
        <w:rPr>
          <w:rFonts w:hint="eastAsia"/>
          <w:szCs w:val="21"/>
          <w:u w:val="single"/>
          <w:lang w:val="en-US" w:eastAsia="zh-CN"/>
        </w:rPr>
        <w:t>1</w:t>
      </w:r>
      <w:r>
        <w:rPr>
          <w:rFonts w:hint="eastAsia"/>
          <w:szCs w:val="21"/>
          <w:lang w:val="en-US"/>
        </w:rPr>
        <w:t>%以内</w:t>
      </w:r>
      <w:r>
        <w:rPr>
          <w:rFonts w:hint="eastAsia"/>
          <w:szCs w:val="21"/>
        </w:rPr>
        <w:t>计费。</w:t>
      </w:r>
    </w:p>
    <w:p>
      <w:pPr>
        <w:spacing w:line="360" w:lineRule="auto"/>
        <w:ind w:firstLine="440" w:firstLineChars="200"/>
        <w:rPr>
          <w:rFonts w:hint="eastAsia"/>
          <w:szCs w:val="21"/>
        </w:rPr>
      </w:pPr>
      <w:r>
        <w:rPr>
          <w:rFonts w:hint="eastAsia"/>
          <w:szCs w:val="21"/>
        </w:rPr>
        <w:t>代理期内，</w:t>
      </w:r>
      <w:r>
        <w:rPr>
          <w:rFonts w:hint="eastAsia"/>
          <w:szCs w:val="21"/>
          <w:lang w:val="en-US"/>
        </w:rPr>
        <w:t>中标单位</w:t>
      </w:r>
      <w:r>
        <w:rPr>
          <w:rFonts w:hint="eastAsia"/>
          <w:szCs w:val="21"/>
        </w:rPr>
        <w:t>不</w:t>
      </w:r>
      <w:r>
        <w:rPr>
          <w:rFonts w:hint="eastAsia"/>
          <w:szCs w:val="21"/>
          <w:lang w:val="en-US"/>
        </w:rPr>
        <w:t>收取除代理佣金以外的其他任何</w:t>
      </w:r>
      <w:r>
        <w:rPr>
          <w:rFonts w:hint="eastAsia"/>
          <w:szCs w:val="21"/>
        </w:rPr>
        <w:t>费用。</w:t>
      </w:r>
    </w:p>
    <w:p>
      <w:pPr>
        <w:spacing w:line="360" w:lineRule="auto"/>
        <w:ind w:firstLine="440" w:firstLineChars="200"/>
        <w:rPr>
          <w:rFonts w:hint="eastAsia"/>
          <w:szCs w:val="21"/>
        </w:rPr>
      </w:pPr>
    </w:p>
    <w:p>
      <w:pPr>
        <w:tabs>
          <w:tab w:val="left" w:pos="900"/>
        </w:tabs>
        <w:spacing w:line="360" w:lineRule="auto"/>
        <w:outlineLvl w:val="1"/>
        <w:rPr>
          <w:b/>
          <w:bCs/>
          <w:szCs w:val="21"/>
          <w:lang w:val="en-US"/>
        </w:rPr>
      </w:pPr>
      <w:r>
        <w:rPr>
          <w:rFonts w:hint="eastAsia"/>
          <w:b/>
          <w:bCs/>
          <w:szCs w:val="21"/>
          <w:lang w:val="en-US"/>
        </w:rPr>
        <w:t>七、代理佣金支付原则</w:t>
      </w:r>
    </w:p>
    <w:p>
      <w:pPr>
        <w:snapToGrid w:val="0"/>
        <w:spacing w:line="440" w:lineRule="exact"/>
        <w:ind w:firstLine="440" w:firstLineChars="200"/>
        <w:rPr>
          <w:lang w:val="en-US"/>
        </w:rPr>
      </w:pPr>
      <w:r>
        <w:rPr>
          <w:rFonts w:hint="eastAsia"/>
          <w:lang w:val="en-US"/>
        </w:rPr>
        <w:t>1、代理佣金按</w:t>
      </w:r>
      <w:r>
        <w:rPr>
          <w:rFonts w:hint="eastAsia"/>
          <w:lang w:val="en-US" w:eastAsia="zh-CN"/>
        </w:rPr>
        <w:t>季度</w:t>
      </w:r>
      <w:r>
        <w:rPr>
          <w:rFonts w:hint="eastAsia"/>
          <w:lang w:val="en-US"/>
        </w:rPr>
        <w:t>支付，具体支付节点如下：</w:t>
      </w:r>
    </w:p>
    <w:p>
      <w:pPr>
        <w:snapToGrid w:val="0"/>
        <w:spacing w:line="440" w:lineRule="exact"/>
        <w:ind w:firstLine="440" w:firstLineChars="200"/>
        <w:rPr>
          <w:lang w:val="en-US"/>
        </w:rPr>
      </w:pPr>
      <w:r>
        <w:rPr>
          <w:rFonts w:hint="eastAsia"/>
          <w:lang w:val="en-US"/>
        </w:rPr>
        <w:t>（1）</w:t>
      </w:r>
      <w:r>
        <w:rPr>
          <w:rFonts w:hint="eastAsia"/>
          <w:lang w:val="en-US" w:eastAsia="zh-CN"/>
        </w:rPr>
        <w:t>销售房屋全款到位</w:t>
      </w:r>
      <w:r>
        <w:rPr>
          <w:rFonts w:hint="eastAsia"/>
          <w:lang w:val="en-US"/>
        </w:rPr>
        <w:t>后支付佣金总额的</w:t>
      </w:r>
      <w:r>
        <w:rPr>
          <w:rFonts w:hint="eastAsia"/>
          <w:lang w:val="en-US" w:eastAsia="zh-CN"/>
        </w:rPr>
        <w:t>9</w:t>
      </w:r>
      <w:r>
        <w:rPr>
          <w:rFonts w:hint="eastAsia"/>
          <w:lang w:val="en-US"/>
        </w:rPr>
        <w:t>0%。</w:t>
      </w:r>
    </w:p>
    <w:p>
      <w:pPr>
        <w:snapToGrid w:val="0"/>
        <w:spacing w:line="440" w:lineRule="exact"/>
        <w:ind w:firstLine="440" w:firstLineChars="200"/>
        <w:rPr>
          <w:lang w:val="en-US"/>
        </w:rPr>
      </w:pPr>
      <w:r>
        <w:rPr>
          <w:rFonts w:hint="eastAsia"/>
          <w:lang w:val="en-US"/>
        </w:rPr>
        <w:t>（</w:t>
      </w:r>
      <w:r>
        <w:rPr>
          <w:rFonts w:hint="eastAsia"/>
          <w:lang w:val="en-US" w:eastAsia="zh-CN"/>
        </w:rPr>
        <w:t>2</w:t>
      </w:r>
      <w:r>
        <w:rPr>
          <w:rFonts w:hint="eastAsia"/>
          <w:lang w:val="en-US"/>
        </w:rPr>
        <w:t>）完成交房或项目结案工作后支付佣金总额的10%。</w:t>
      </w:r>
    </w:p>
    <w:p>
      <w:pPr>
        <w:snapToGrid w:val="0"/>
        <w:spacing w:line="440" w:lineRule="exact"/>
        <w:ind w:firstLine="440" w:firstLineChars="200"/>
        <w:rPr>
          <w:lang w:val="en-US"/>
        </w:rPr>
      </w:pPr>
      <w:r>
        <w:rPr>
          <w:rFonts w:hint="eastAsia"/>
          <w:lang w:val="en-US"/>
        </w:rPr>
        <w:t>2、办理产权登记时实测面积与销售面积之误差不作综合佣金退补调整。</w:t>
      </w:r>
    </w:p>
    <w:p>
      <w:pPr>
        <w:snapToGrid w:val="0"/>
        <w:spacing w:line="440" w:lineRule="exact"/>
        <w:ind w:firstLine="440" w:firstLineChars="200"/>
        <w:rPr>
          <w:lang w:val="en-US"/>
        </w:rPr>
      </w:pPr>
      <w:r>
        <w:rPr>
          <w:rFonts w:hint="eastAsia"/>
          <w:lang w:val="en-US"/>
        </w:rPr>
        <w:t>3、招标人确定房屋销售价格表（一房一价），中标人不得浮动更改。</w:t>
      </w:r>
    </w:p>
    <w:p>
      <w:pPr>
        <w:snapToGrid w:val="0"/>
        <w:spacing w:line="440" w:lineRule="exact"/>
        <w:ind w:firstLine="440" w:firstLineChars="200"/>
        <w:rPr>
          <w:lang w:val="en-US"/>
        </w:rPr>
      </w:pPr>
    </w:p>
    <w:p>
      <w:pPr>
        <w:tabs>
          <w:tab w:val="left" w:pos="900"/>
        </w:tabs>
        <w:spacing w:line="360" w:lineRule="auto"/>
        <w:outlineLvl w:val="1"/>
        <w:rPr>
          <w:b/>
          <w:bCs/>
          <w:szCs w:val="21"/>
          <w:lang w:val="en-US"/>
        </w:rPr>
      </w:pPr>
      <w:r>
        <w:rPr>
          <w:rFonts w:hint="eastAsia"/>
          <w:b/>
          <w:bCs/>
          <w:szCs w:val="21"/>
          <w:lang w:val="en-US"/>
        </w:rPr>
        <w:t>八、销售违约责任</w:t>
      </w:r>
    </w:p>
    <w:p>
      <w:pPr>
        <w:snapToGrid w:val="0"/>
        <w:spacing w:line="440" w:lineRule="exact"/>
        <w:ind w:firstLine="440" w:firstLineChars="200"/>
        <w:rPr>
          <w:lang w:val="en-US"/>
        </w:rPr>
      </w:pPr>
      <w:r>
        <w:rPr>
          <w:rFonts w:hint="eastAsia"/>
          <w:lang w:val="en-US"/>
        </w:rPr>
        <w:t>1、招标人根据项目销售制定各阶段销售进度指标，同时每月第一个工作日前制定销售任务书下发给中标人，中标人根据招标人销售进度指标及任务书进行销售。</w:t>
      </w:r>
    </w:p>
    <w:p>
      <w:pPr>
        <w:snapToGrid w:val="0"/>
        <w:spacing w:line="440" w:lineRule="exact"/>
        <w:ind w:firstLine="440" w:firstLineChars="200"/>
        <w:rPr>
          <w:lang w:val="en-US"/>
        </w:rPr>
      </w:pPr>
      <w:r>
        <w:rPr>
          <w:rFonts w:hint="eastAsia"/>
          <w:lang w:val="en-US"/>
        </w:rPr>
        <w:t>2、</w:t>
      </w:r>
      <w:r>
        <w:rPr>
          <w:rFonts w:hint="eastAsia"/>
        </w:rPr>
        <w:t>每阶段均进行考核，如</w:t>
      </w:r>
      <w:r>
        <w:rPr>
          <w:rFonts w:hint="eastAsia"/>
          <w:lang w:val="en-US"/>
        </w:rPr>
        <w:t>中标人</w:t>
      </w:r>
      <w:r>
        <w:rPr>
          <w:rFonts w:hint="eastAsia"/>
        </w:rPr>
        <w:t>未能</w:t>
      </w:r>
      <w:r>
        <w:rPr>
          <w:rFonts w:hint="eastAsia"/>
          <w:lang w:val="en-US"/>
        </w:rPr>
        <w:t>按</w:t>
      </w:r>
      <w:r>
        <w:rPr>
          <w:rFonts w:hint="eastAsia"/>
        </w:rPr>
        <w:t>时完成任何一个阶段的销售进度指标</w:t>
      </w:r>
      <w:r>
        <w:rPr>
          <w:rFonts w:hint="eastAsia"/>
          <w:lang w:val="en-US"/>
        </w:rPr>
        <w:t>及任务书</w:t>
      </w:r>
      <w:r>
        <w:rPr>
          <w:rFonts w:hint="eastAsia"/>
        </w:rPr>
        <w:t>要求，</w:t>
      </w:r>
      <w:r>
        <w:rPr>
          <w:rFonts w:hint="eastAsia"/>
          <w:lang w:val="en-US"/>
        </w:rPr>
        <w:t>招标人</w:t>
      </w:r>
      <w:r>
        <w:rPr>
          <w:rFonts w:hint="eastAsia"/>
        </w:rPr>
        <w:t>则</w:t>
      </w:r>
      <w:r>
        <w:rPr>
          <w:rFonts w:hint="eastAsia"/>
          <w:lang w:val="en-US"/>
        </w:rPr>
        <w:t>按</w:t>
      </w:r>
      <w:r>
        <w:rPr>
          <w:rFonts w:hint="eastAsia"/>
        </w:rPr>
        <w:t>该阶段</w:t>
      </w:r>
      <w:r>
        <w:rPr>
          <w:rFonts w:hint="eastAsia"/>
          <w:lang w:val="en-US"/>
        </w:rPr>
        <w:t>所得</w:t>
      </w:r>
      <w:r>
        <w:rPr>
          <w:rFonts w:hint="eastAsia"/>
        </w:rPr>
        <w:t>代理佣金</w:t>
      </w:r>
      <w:r>
        <w:rPr>
          <w:rFonts w:hint="eastAsia"/>
          <w:lang w:val="en-US" w:eastAsia="zh-CN"/>
        </w:rPr>
        <w:t>8</w:t>
      </w:r>
      <w:r>
        <w:rPr>
          <w:rFonts w:hint="eastAsia"/>
          <w:lang w:val="en-US"/>
        </w:rPr>
        <w:t>0</w:t>
      </w:r>
      <w:r>
        <w:rPr>
          <w:rFonts w:hint="eastAsia"/>
        </w:rPr>
        <w:t>%</w:t>
      </w:r>
      <w:r>
        <w:rPr>
          <w:rFonts w:hint="eastAsia"/>
          <w:lang w:val="en-US"/>
        </w:rPr>
        <w:t>发放给中标人。</w:t>
      </w:r>
    </w:p>
    <w:p>
      <w:pPr>
        <w:snapToGrid w:val="0"/>
        <w:spacing w:line="440" w:lineRule="exact"/>
        <w:ind w:firstLine="440" w:firstLineChars="200"/>
      </w:pPr>
      <w:r>
        <w:rPr>
          <w:rFonts w:hint="eastAsia"/>
          <w:lang w:val="en-US"/>
        </w:rPr>
        <w:t>3、</w:t>
      </w:r>
      <w:r>
        <w:rPr>
          <w:rFonts w:hint="eastAsia"/>
        </w:rPr>
        <w:t>若</w:t>
      </w:r>
      <w:r>
        <w:rPr>
          <w:rFonts w:hint="eastAsia"/>
          <w:lang w:val="en-US"/>
        </w:rPr>
        <w:t>中标人</w:t>
      </w:r>
      <w:r>
        <w:rPr>
          <w:rFonts w:hint="eastAsia"/>
        </w:rPr>
        <w:t>连续二次出现未能按</w:t>
      </w:r>
      <w:r>
        <w:rPr>
          <w:rFonts w:hint="eastAsia"/>
          <w:lang w:val="en-US"/>
        </w:rPr>
        <w:t>销售进度指标及招标人下发的销售任务书完成</w:t>
      </w:r>
      <w:r>
        <w:rPr>
          <w:rFonts w:hint="eastAsia"/>
        </w:rPr>
        <w:t>，</w:t>
      </w:r>
      <w:r>
        <w:rPr>
          <w:rFonts w:hint="eastAsia"/>
          <w:lang w:val="en-US"/>
        </w:rPr>
        <w:t>招标人</w:t>
      </w:r>
      <w:r>
        <w:rPr>
          <w:rFonts w:hint="eastAsia"/>
        </w:rPr>
        <w:t>除了该阶段</w:t>
      </w:r>
      <w:r>
        <w:rPr>
          <w:rFonts w:hint="eastAsia"/>
          <w:lang w:val="en-US"/>
        </w:rPr>
        <w:t>所得</w:t>
      </w:r>
      <w:r>
        <w:rPr>
          <w:rFonts w:hint="eastAsia"/>
        </w:rPr>
        <w:t>代理佣佣金</w:t>
      </w:r>
      <w:r>
        <w:rPr>
          <w:rFonts w:hint="eastAsia"/>
          <w:lang w:val="en-US" w:eastAsia="zh-CN"/>
        </w:rPr>
        <w:t>8</w:t>
      </w:r>
      <w:r>
        <w:rPr>
          <w:rFonts w:hint="eastAsia"/>
          <w:lang w:val="en-US"/>
        </w:rPr>
        <w:t>0</w:t>
      </w:r>
      <w:r>
        <w:rPr>
          <w:rFonts w:hint="eastAsia"/>
        </w:rPr>
        <w:t>%</w:t>
      </w:r>
      <w:r>
        <w:rPr>
          <w:rFonts w:hint="eastAsia"/>
          <w:lang w:val="en-US"/>
        </w:rPr>
        <w:t>发放给中标人</w:t>
      </w:r>
      <w:r>
        <w:rPr>
          <w:rFonts w:hint="eastAsia"/>
        </w:rPr>
        <w:t>外，可根据实际情况解除合同并</w:t>
      </w:r>
      <w:r>
        <w:rPr>
          <w:rFonts w:hint="eastAsia"/>
          <w:lang w:val="en-US"/>
        </w:rPr>
        <w:t>重新委托其他销售</w:t>
      </w:r>
      <w:r>
        <w:rPr>
          <w:rFonts w:hint="eastAsia"/>
        </w:rPr>
        <w:t>代理公司，</w:t>
      </w:r>
      <w:r>
        <w:rPr>
          <w:rFonts w:hint="eastAsia"/>
          <w:lang w:val="en-US"/>
        </w:rPr>
        <w:t>中标人</w:t>
      </w:r>
      <w:r>
        <w:rPr>
          <w:rFonts w:hint="eastAsia"/>
        </w:rPr>
        <w:t>应无条件服从。</w:t>
      </w:r>
    </w:p>
    <w:p>
      <w:pPr>
        <w:tabs>
          <w:tab w:val="left" w:pos="900"/>
        </w:tabs>
        <w:spacing w:line="360" w:lineRule="auto"/>
        <w:rPr>
          <w:b/>
          <w:bCs/>
          <w:szCs w:val="21"/>
          <w:lang w:val="en-US"/>
        </w:rPr>
      </w:pPr>
    </w:p>
    <w:p>
      <w:pPr>
        <w:spacing w:line="360" w:lineRule="auto"/>
        <w:jc w:val="center"/>
        <w:outlineLvl w:val="0"/>
        <w:rPr>
          <w:b/>
          <w:sz w:val="32"/>
          <w:szCs w:val="32"/>
        </w:rPr>
      </w:pPr>
      <w:bookmarkStart w:id="13" w:name="_Toc17070_WPSOffice_Level1"/>
      <w:r>
        <w:rPr>
          <w:rFonts w:hint="eastAsia"/>
          <w:b/>
          <w:sz w:val="32"/>
          <w:szCs w:val="32"/>
        </w:rPr>
        <w:t>第三章  投标文件要求</w:t>
      </w:r>
      <w:bookmarkEnd w:id="13"/>
    </w:p>
    <w:p>
      <w:pPr>
        <w:tabs>
          <w:tab w:val="left" w:pos="540"/>
          <w:tab w:val="left" w:pos="900"/>
          <w:tab w:val="left" w:pos="3420"/>
        </w:tabs>
        <w:spacing w:line="360" w:lineRule="auto"/>
        <w:outlineLvl w:val="1"/>
        <w:rPr>
          <w:b/>
          <w:szCs w:val="21"/>
        </w:rPr>
      </w:pPr>
      <w:bookmarkStart w:id="14" w:name="_Toc22539_WPSOffice_Level2"/>
      <w:r>
        <w:rPr>
          <w:rFonts w:hint="eastAsia"/>
          <w:b/>
          <w:szCs w:val="21"/>
        </w:rPr>
        <w:t>一、投标文件的组成</w:t>
      </w:r>
      <w:bookmarkEnd w:id="14"/>
    </w:p>
    <w:p>
      <w:pPr>
        <w:tabs>
          <w:tab w:val="left" w:pos="540"/>
          <w:tab w:val="left" w:pos="900"/>
          <w:tab w:val="left" w:pos="3420"/>
        </w:tabs>
        <w:spacing w:line="360" w:lineRule="auto"/>
        <w:ind w:firstLine="442" w:firstLineChars="200"/>
        <w:outlineLvl w:val="2"/>
        <w:rPr>
          <w:b/>
          <w:bCs/>
          <w:szCs w:val="21"/>
        </w:rPr>
      </w:pPr>
      <w:r>
        <w:rPr>
          <w:rFonts w:hint="eastAsia"/>
          <w:b/>
          <w:bCs/>
          <w:szCs w:val="21"/>
        </w:rPr>
        <w:t>1、投标人的投标文件应包括下列内容：</w:t>
      </w:r>
    </w:p>
    <w:p>
      <w:pPr>
        <w:tabs>
          <w:tab w:val="left" w:pos="540"/>
          <w:tab w:val="left" w:pos="900"/>
          <w:tab w:val="left" w:pos="3420"/>
        </w:tabs>
        <w:spacing w:line="360" w:lineRule="auto"/>
        <w:ind w:firstLine="433" w:firstLineChars="196"/>
        <w:rPr>
          <w:b/>
          <w:szCs w:val="21"/>
        </w:rPr>
      </w:pPr>
      <w:r>
        <w:rPr>
          <w:rFonts w:hint="eastAsia"/>
          <w:b/>
          <w:szCs w:val="21"/>
        </w:rPr>
        <w:t>A、综合部分</w:t>
      </w:r>
      <w:r>
        <w:rPr>
          <w:rFonts w:hint="eastAsia"/>
          <w:szCs w:val="21"/>
        </w:rPr>
        <w:t>（内容包括但不限于下列各项）</w:t>
      </w:r>
    </w:p>
    <w:p>
      <w:pPr>
        <w:tabs>
          <w:tab w:val="left" w:pos="540"/>
          <w:tab w:val="left" w:pos="900"/>
          <w:tab w:val="left" w:pos="3420"/>
        </w:tabs>
        <w:spacing w:line="360" w:lineRule="auto"/>
        <w:ind w:firstLine="440" w:firstLineChars="200"/>
        <w:rPr>
          <w:szCs w:val="21"/>
        </w:rPr>
      </w:pPr>
      <w:r>
        <w:rPr>
          <w:rFonts w:hint="eastAsia"/>
          <w:szCs w:val="21"/>
        </w:rPr>
        <w:t>（1）公司业绩</w:t>
      </w:r>
    </w:p>
    <w:p>
      <w:pPr>
        <w:tabs>
          <w:tab w:val="left" w:pos="540"/>
          <w:tab w:val="left" w:pos="900"/>
          <w:tab w:val="left" w:pos="3420"/>
        </w:tabs>
        <w:spacing w:line="360" w:lineRule="auto"/>
        <w:ind w:firstLine="660" w:firstLineChars="300"/>
        <w:rPr>
          <w:szCs w:val="21"/>
        </w:rPr>
      </w:pPr>
      <w:r>
        <w:rPr>
          <w:rFonts w:hint="eastAsia"/>
          <w:szCs w:val="21"/>
        </w:rPr>
        <w:t>a.公司简介（业务范围、人力资源、</w:t>
      </w:r>
      <w:r>
        <w:rPr>
          <w:rFonts w:hint="eastAsia"/>
          <w:szCs w:val="21"/>
          <w:lang w:val="en-US"/>
        </w:rPr>
        <w:t>销售</w:t>
      </w:r>
      <w:r>
        <w:rPr>
          <w:rFonts w:hint="eastAsia"/>
          <w:szCs w:val="21"/>
        </w:rPr>
        <w:t>资源等）；</w:t>
      </w:r>
    </w:p>
    <w:p>
      <w:pPr>
        <w:tabs>
          <w:tab w:val="left" w:pos="540"/>
          <w:tab w:val="left" w:pos="900"/>
          <w:tab w:val="left" w:pos="3420"/>
        </w:tabs>
        <w:spacing w:line="360" w:lineRule="auto"/>
        <w:ind w:firstLine="660" w:firstLineChars="300"/>
        <w:rPr>
          <w:szCs w:val="21"/>
        </w:rPr>
      </w:pPr>
      <w:r>
        <w:rPr>
          <w:rFonts w:hint="eastAsia"/>
          <w:szCs w:val="21"/>
        </w:rPr>
        <w:t>b.公司近三年主要业绩（含成功案例、阶段</w:t>
      </w:r>
      <w:r>
        <w:rPr>
          <w:rFonts w:hint="eastAsia"/>
          <w:szCs w:val="21"/>
          <w:lang w:val="en-US"/>
        </w:rPr>
        <w:t>销售</w:t>
      </w:r>
      <w:r>
        <w:rPr>
          <w:rFonts w:hint="eastAsia"/>
          <w:szCs w:val="21"/>
        </w:rPr>
        <w:t>业绩）。</w:t>
      </w:r>
    </w:p>
    <w:p>
      <w:pPr>
        <w:numPr>
          <w:ilvl w:val="0"/>
          <w:numId w:val="2"/>
        </w:numPr>
        <w:tabs>
          <w:tab w:val="left" w:pos="540"/>
          <w:tab w:val="left" w:pos="900"/>
          <w:tab w:val="left" w:pos="3420"/>
        </w:tabs>
        <w:spacing w:line="360" w:lineRule="auto"/>
        <w:ind w:firstLine="440" w:firstLineChars="200"/>
        <w:rPr>
          <w:szCs w:val="21"/>
        </w:rPr>
      </w:pPr>
      <w:r>
        <w:rPr>
          <w:rFonts w:hint="eastAsia"/>
          <w:szCs w:val="21"/>
        </w:rPr>
        <w:t>管理模式</w:t>
      </w:r>
    </w:p>
    <w:p>
      <w:pPr>
        <w:numPr>
          <w:ilvl w:val="0"/>
          <w:numId w:val="3"/>
        </w:numPr>
        <w:tabs>
          <w:tab w:val="left" w:pos="540"/>
          <w:tab w:val="left" w:pos="900"/>
          <w:tab w:val="left" w:pos="3420"/>
          <w:tab w:val="clear" w:pos="312"/>
        </w:tabs>
        <w:spacing w:line="360" w:lineRule="auto"/>
        <w:ind w:firstLine="660" w:firstLineChars="300"/>
        <w:rPr>
          <w:szCs w:val="21"/>
        </w:rPr>
      </w:pPr>
      <w:r>
        <w:rPr>
          <w:rFonts w:hint="eastAsia"/>
          <w:szCs w:val="21"/>
        </w:rPr>
        <w:t>管理机制；</w:t>
      </w:r>
    </w:p>
    <w:p>
      <w:pPr>
        <w:tabs>
          <w:tab w:val="left" w:pos="540"/>
          <w:tab w:val="left" w:pos="900"/>
          <w:tab w:val="left" w:pos="3420"/>
        </w:tabs>
        <w:spacing w:line="360" w:lineRule="auto"/>
        <w:ind w:left="660" w:leftChars="300"/>
        <w:rPr>
          <w:b/>
          <w:szCs w:val="21"/>
        </w:rPr>
      </w:pPr>
      <w:r>
        <w:rPr>
          <w:rFonts w:hint="eastAsia"/>
          <w:szCs w:val="21"/>
          <w:lang w:val="en-US"/>
        </w:rPr>
        <w:t>b.</w:t>
      </w:r>
      <w:r>
        <w:rPr>
          <w:rFonts w:hint="eastAsia"/>
          <w:szCs w:val="21"/>
        </w:rPr>
        <w:t>项目</w:t>
      </w:r>
      <w:r>
        <w:rPr>
          <w:rFonts w:hint="eastAsia"/>
          <w:szCs w:val="21"/>
          <w:lang w:val="en-US"/>
        </w:rPr>
        <w:t>销售</w:t>
      </w:r>
      <w:r>
        <w:rPr>
          <w:rFonts w:hint="eastAsia"/>
          <w:szCs w:val="21"/>
        </w:rPr>
        <w:t>组织的机构图</w:t>
      </w:r>
      <w:r>
        <w:rPr>
          <w:rFonts w:hint="eastAsia"/>
          <w:szCs w:val="21"/>
          <w:lang w:val="en-US"/>
        </w:rPr>
        <w:t>.</w:t>
      </w:r>
    </w:p>
    <w:p>
      <w:pPr>
        <w:numPr>
          <w:ilvl w:val="0"/>
          <w:numId w:val="2"/>
        </w:numPr>
        <w:tabs>
          <w:tab w:val="left" w:pos="540"/>
          <w:tab w:val="left" w:pos="900"/>
          <w:tab w:val="left" w:pos="3420"/>
        </w:tabs>
        <w:spacing w:line="360" w:lineRule="auto"/>
        <w:ind w:firstLine="440" w:firstLineChars="200"/>
        <w:rPr>
          <w:szCs w:val="21"/>
        </w:rPr>
      </w:pPr>
      <w:r>
        <w:rPr>
          <w:rFonts w:hint="eastAsia"/>
          <w:szCs w:val="21"/>
          <w:lang w:val="en-US"/>
        </w:rPr>
        <w:t>项目团队</w:t>
      </w:r>
    </w:p>
    <w:p>
      <w:pPr>
        <w:numPr>
          <w:ilvl w:val="0"/>
          <w:numId w:val="4"/>
        </w:numPr>
        <w:tabs>
          <w:tab w:val="left" w:pos="540"/>
          <w:tab w:val="left" w:pos="900"/>
          <w:tab w:val="left" w:pos="3420"/>
          <w:tab w:val="clear" w:pos="312"/>
        </w:tabs>
        <w:spacing w:line="360" w:lineRule="auto"/>
        <w:ind w:firstLine="660" w:firstLineChars="300"/>
        <w:rPr>
          <w:szCs w:val="21"/>
          <w:lang w:val="en-US"/>
        </w:rPr>
      </w:pPr>
      <w:r>
        <w:rPr>
          <w:rFonts w:hint="eastAsia"/>
          <w:szCs w:val="21"/>
        </w:rPr>
        <w:t>负责本案的项目经理、销售经理</w:t>
      </w:r>
      <w:r>
        <w:rPr>
          <w:rFonts w:hint="eastAsia"/>
          <w:szCs w:val="21"/>
          <w:lang w:eastAsia="zh-CN"/>
        </w:rPr>
        <w:t>、置业顾问</w:t>
      </w:r>
      <w:r>
        <w:rPr>
          <w:rFonts w:hint="eastAsia"/>
          <w:szCs w:val="21"/>
        </w:rPr>
        <w:t>人员名单、业绩及证明资料</w:t>
      </w:r>
      <w:r>
        <w:rPr>
          <w:rFonts w:hint="eastAsia"/>
          <w:szCs w:val="21"/>
          <w:lang w:val="en-US"/>
        </w:rPr>
        <w:t>;</w:t>
      </w:r>
    </w:p>
    <w:p>
      <w:pPr>
        <w:tabs>
          <w:tab w:val="left" w:pos="540"/>
          <w:tab w:val="left" w:pos="900"/>
          <w:tab w:val="left" w:pos="3420"/>
        </w:tabs>
        <w:spacing w:line="360" w:lineRule="auto"/>
        <w:ind w:left="660" w:leftChars="300"/>
        <w:rPr>
          <w:b/>
          <w:szCs w:val="21"/>
        </w:rPr>
      </w:pPr>
      <w:r>
        <w:rPr>
          <w:rFonts w:hint="eastAsia"/>
          <w:szCs w:val="21"/>
          <w:lang w:val="en-US"/>
        </w:rPr>
        <w:t>b.案场常驻人员不得少于</w:t>
      </w:r>
      <w:r>
        <w:rPr>
          <w:rFonts w:hint="eastAsia"/>
          <w:szCs w:val="21"/>
          <w:lang w:val="en-US" w:eastAsia="zh-CN"/>
        </w:rPr>
        <w:t>8</w:t>
      </w:r>
      <w:r>
        <w:rPr>
          <w:rFonts w:hint="eastAsia"/>
          <w:szCs w:val="21"/>
          <w:lang w:val="en-US"/>
        </w:rPr>
        <w:t>人，其中包括不少于</w:t>
      </w:r>
      <w:r>
        <w:rPr>
          <w:rFonts w:hint="eastAsia"/>
          <w:szCs w:val="21"/>
          <w:lang w:val="en-US" w:eastAsia="zh-CN"/>
        </w:rPr>
        <w:t>7</w:t>
      </w:r>
      <w:r>
        <w:rPr>
          <w:rFonts w:hint="eastAsia"/>
          <w:szCs w:val="21"/>
          <w:lang w:val="en-US"/>
        </w:rPr>
        <w:t>名销售人员（含销售主管</w:t>
      </w:r>
      <w:r>
        <w:rPr>
          <w:rFonts w:hint="eastAsia"/>
          <w:szCs w:val="21"/>
          <w:lang w:val="en-US" w:eastAsia="zh-CN"/>
        </w:rPr>
        <w:t>、置业顾问</w:t>
      </w:r>
      <w:r>
        <w:rPr>
          <w:rFonts w:hint="eastAsia"/>
          <w:szCs w:val="21"/>
          <w:lang w:val="en-US"/>
        </w:rPr>
        <w:t>）、</w:t>
      </w:r>
      <w:r>
        <w:rPr>
          <w:rFonts w:hint="eastAsia"/>
          <w:szCs w:val="21"/>
          <w:lang w:val="en-US" w:eastAsia="zh-CN"/>
        </w:rPr>
        <w:t>1</w:t>
      </w:r>
      <w:r>
        <w:rPr>
          <w:rFonts w:hint="eastAsia"/>
          <w:szCs w:val="21"/>
          <w:lang w:val="en-US"/>
        </w:rPr>
        <w:t>名销售经理。</w:t>
      </w:r>
    </w:p>
    <w:p>
      <w:pPr>
        <w:tabs>
          <w:tab w:val="left" w:pos="540"/>
          <w:tab w:val="left" w:pos="900"/>
          <w:tab w:val="left" w:pos="3420"/>
        </w:tabs>
        <w:spacing w:line="360" w:lineRule="auto"/>
        <w:ind w:firstLine="442" w:firstLineChars="200"/>
        <w:rPr>
          <w:szCs w:val="21"/>
        </w:rPr>
      </w:pPr>
      <w:r>
        <w:rPr>
          <w:rFonts w:hint="eastAsia"/>
          <w:b/>
          <w:szCs w:val="21"/>
        </w:rPr>
        <w:t>B、技术部分</w:t>
      </w:r>
      <w:r>
        <w:rPr>
          <w:rFonts w:hint="eastAsia"/>
          <w:szCs w:val="21"/>
        </w:rPr>
        <w:t>（内容包括但不限于下列各项）</w:t>
      </w:r>
    </w:p>
    <w:p>
      <w:pPr>
        <w:tabs>
          <w:tab w:val="left" w:pos="540"/>
          <w:tab w:val="left" w:pos="900"/>
          <w:tab w:val="left" w:pos="3420"/>
        </w:tabs>
        <w:spacing w:line="360" w:lineRule="auto"/>
        <w:ind w:firstLine="440" w:firstLineChars="200"/>
        <w:rPr>
          <w:szCs w:val="21"/>
        </w:rPr>
      </w:pPr>
      <w:r>
        <w:rPr>
          <w:rFonts w:hint="eastAsia"/>
          <w:szCs w:val="21"/>
        </w:rPr>
        <w:t>（1）市场及政策研究</w:t>
      </w:r>
    </w:p>
    <w:p>
      <w:pPr>
        <w:tabs>
          <w:tab w:val="left" w:pos="540"/>
          <w:tab w:val="left" w:pos="900"/>
          <w:tab w:val="left" w:pos="3420"/>
        </w:tabs>
        <w:spacing w:line="360" w:lineRule="auto"/>
        <w:ind w:firstLine="660" w:firstLineChars="300"/>
        <w:rPr>
          <w:szCs w:val="21"/>
        </w:rPr>
      </w:pPr>
      <w:r>
        <w:rPr>
          <w:rFonts w:hint="eastAsia"/>
          <w:szCs w:val="21"/>
        </w:rPr>
        <w:t xml:space="preserve">a.房地产市场现状及未来走势分析； </w:t>
      </w:r>
    </w:p>
    <w:p>
      <w:pPr>
        <w:tabs>
          <w:tab w:val="left" w:pos="540"/>
          <w:tab w:val="left" w:pos="900"/>
          <w:tab w:val="left" w:pos="3420"/>
        </w:tabs>
        <w:spacing w:line="360" w:lineRule="auto"/>
        <w:ind w:firstLine="660" w:firstLineChars="300"/>
        <w:rPr>
          <w:szCs w:val="21"/>
        </w:rPr>
      </w:pPr>
      <w:r>
        <w:rPr>
          <w:rFonts w:hint="eastAsia"/>
          <w:szCs w:val="21"/>
        </w:rPr>
        <w:t>b.项目周边楼市现况及未来走势分析；</w:t>
      </w:r>
    </w:p>
    <w:p>
      <w:pPr>
        <w:tabs>
          <w:tab w:val="left" w:pos="540"/>
          <w:tab w:val="left" w:pos="900"/>
          <w:tab w:val="left" w:pos="3420"/>
        </w:tabs>
        <w:spacing w:line="360" w:lineRule="auto"/>
        <w:ind w:firstLine="660" w:firstLineChars="300"/>
        <w:rPr>
          <w:szCs w:val="21"/>
        </w:rPr>
      </w:pPr>
      <w:r>
        <w:rPr>
          <w:rFonts w:hint="eastAsia"/>
          <w:szCs w:val="21"/>
        </w:rPr>
        <w:t>c.相关政策、法规及趋势研究，特别是针对项目所涉及的有关法规研究。</w:t>
      </w:r>
    </w:p>
    <w:p>
      <w:pPr>
        <w:tabs>
          <w:tab w:val="left" w:pos="540"/>
          <w:tab w:val="left" w:pos="900"/>
          <w:tab w:val="left" w:pos="3420"/>
        </w:tabs>
        <w:spacing w:line="360" w:lineRule="auto"/>
        <w:ind w:firstLine="440" w:firstLineChars="200"/>
        <w:rPr>
          <w:szCs w:val="21"/>
        </w:rPr>
      </w:pPr>
      <w:r>
        <w:rPr>
          <w:rFonts w:hint="eastAsia"/>
          <w:szCs w:val="21"/>
        </w:rPr>
        <w:t>（2）</w:t>
      </w:r>
      <w:r>
        <w:rPr>
          <w:rFonts w:hint="eastAsia"/>
          <w:szCs w:val="21"/>
          <w:lang w:val="en-US"/>
        </w:rPr>
        <w:t>项目</w:t>
      </w:r>
      <w:r>
        <w:rPr>
          <w:rFonts w:hint="eastAsia"/>
          <w:szCs w:val="21"/>
        </w:rPr>
        <w:t>定位</w:t>
      </w:r>
      <w:r>
        <w:rPr>
          <w:rFonts w:hint="eastAsia"/>
          <w:szCs w:val="21"/>
          <w:lang w:val="en-US"/>
        </w:rPr>
        <w:t>及</w:t>
      </w:r>
      <w:r>
        <w:rPr>
          <w:rFonts w:hint="eastAsia"/>
          <w:szCs w:val="21"/>
        </w:rPr>
        <w:t>分析</w:t>
      </w:r>
    </w:p>
    <w:p>
      <w:pPr>
        <w:tabs>
          <w:tab w:val="left" w:pos="540"/>
          <w:tab w:val="left" w:pos="900"/>
          <w:tab w:val="left" w:pos="3420"/>
        </w:tabs>
        <w:spacing w:line="360" w:lineRule="auto"/>
        <w:ind w:firstLine="660" w:firstLineChars="300"/>
        <w:rPr>
          <w:szCs w:val="21"/>
        </w:rPr>
      </w:pPr>
      <w:r>
        <w:rPr>
          <w:rFonts w:hint="eastAsia"/>
          <w:szCs w:val="21"/>
        </w:rPr>
        <w:t>a.项目目标市场、客户分析</w:t>
      </w:r>
      <w:r>
        <w:rPr>
          <w:rFonts w:hint="eastAsia"/>
          <w:szCs w:val="21"/>
          <w:lang w:eastAsia="zh-CN"/>
        </w:rPr>
        <w:t>（</w:t>
      </w:r>
      <w:r>
        <w:rPr>
          <w:rFonts w:hint="eastAsia"/>
          <w:szCs w:val="21"/>
        </w:rPr>
        <w:t>包括但不限于：</w:t>
      </w:r>
      <w:r>
        <w:rPr>
          <w:rFonts w:hint="eastAsia"/>
          <w:szCs w:val="21"/>
          <w:lang w:eastAsia="zh-CN"/>
        </w:rPr>
        <w:t>竞</w:t>
      </w:r>
      <w:r>
        <w:rPr>
          <w:rFonts w:hint="eastAsia"/>
          <w:szCs w:val="21"/>
        </w:rPr>
        <w:t>品PK、客户分析、推广动作、活</w:t>
      </w:r>
      <w:r>
        <w:rPr>
          <w:rFonts w:hint="eastAsia"/>
          <w:szCs w:val="21"/>
          <w:lang w:val="en-US" w:eastAsia="zh-CN"/>
        </w:rPr>
        <w:tab/>
      </w:r>
      <w:r>
        <w:rPr>
          <w:rFonts w:hint="eastAsia"/>
          <w:szCs w:val="21"/>
          <w:lang w:val="en-US" w:eastAsia="zh-CN"/>
        </w:rPr>
        <w:t xml:space="preserve">   </w:t>
      </w:r>
      <w:r>
        <w:rPr>
          <w:rFonts w:hint="eastAsia"/>
          <w:szCs w:val="21"/>
        </w:rPr>
        <w:t>动分析等</w:t>
      </w:r>
      <w:r>
        <w:rPr>
          <w:rFonts w:hint="eastAsia"/>
          <w:szCs w:val="21"/>
          <w:lang w:eastAsia="zh-CN"/>
        </w:rPr>
        <w:t>）</w:t>
      </w:r>
      <w:r>
        <w:rPr>
          <w:rFonts w:hint="eastAsia"/>
          <w:szCs w:val="21"/>
        </w:rPr>
        <w:t>；</w:t>
      </w:r>
    </w:p>
    <w:p>
      <w:pPr>
        <w:tabs>
          <w:tab w:val="left" w:pos="540"/>
          <w:tab w:val="left" w:pos="900"/>
          <w:tab w:val="left" w:pos="3420"/>
        </w:tabs>
        <w:spacing w:line="360" w:lineRule="auto"/>
        <w:ind w:firstLine="660" w:firstLineChars="300"/>
        <w:rPr>
          <w:szCs w:val="21"/>
        </w:rPr>
      </w:pPr>
      <w:r>
        <w:rPr>
          <w:rFonts w:hint="eastAsia"/>
          <w:szCs w:val="21"/>
        </w:rPr>
        <w:t>b.项目理解、卖点提炼、策划定位；</w:t>
      </w:r>
    </w:p>
    <w:p>
      <w:pPr>
        <w:tabs>
          <w:tab w:val="left" w:pos="540"/>
          <w:tab w:val="left" w:pos="900"/>
          <w:tab w:val="left" w:pos="3420"/>
        </w:tabs>
        <w:spacing w:line="360" w:lineRule="auto"/>
        <w:ind w:firstLine="440" w:firstLineChars="200"/>
        <w:rPr>
          <w:szCs w:val="21"/>
        </w:rPr>
      </w:pPr>
      <w:r>
        <w:rPr>
          <w:rFonts w:hint="eastAsia"/>
          <w:szCs w:val="21"/>
        </w:rPr>
        <w:t>（3）整体</w:t>
      </w:r>
      <w:r>
        <w:rPr>
          <w:rFonts w:hint="eastAsia"/>
          <w:szCs w:val="21"/>
          <w:lang w:val="en-US" w:eastAsia="zh-CN"/>
        </w:rPr>
        <w:t>营销</w:t>
      </w:r>
      <w:r>
        <w:rPr>
          <w:rFonts w:hint="eastAsia"/>
          <w:szCs w:val="21"/>
        </w:rPr>
        <w:t>思路</w:t>
      </w:r>
    </w:p>
    <w:p>
      <w:pPr>
        <w:tabs>
          <w:tab w:val="left" w:pos="540"/>
          <w:tab w:val="left" w:pos="900"/>
          <w:tab w:val="left" w:pos="3420"/>
        </w:tabs>
        <w:spacing w:line="360" w:lineRule="auto"/>
        <w:ind w:firstLine="660" w:firstLineChars="300"/>
        <w:rPr>
          <w:rFonts w:hint="eastAsia"/>
          <w:szCs w:val="21"/>
        </w:rPr>
      </w:pPr>
      <w:r>
        <w:rPr>
          <w:rFonts w:hint="eastAsia"/>
          <w:szCs w:val="21"/>
        </w:rPr>
        <w:t>a.</w:t>
      </w:r>
      <w:r>
        <w:rPr>
          <w:rFonts w:hint="eastAsia"/>
          <w:szCs w:val="21"/>
          <w:lang w:val="en-US"/>
        </w:rPr>
        <w:t>营销</w:t>
      </w:r>
      <w:r>
        <w:rPr>
          <w:rFonts w:hint="eastAsia"/>
          <w:szCs w:val="21"/>
        </w:rPr>
        <w:t>策略、节点铺排；</w:t>
      </w:r>
    </w:p>
    <w:p>
      <w:pPr>
        <w:tabs>
          <w:tab w:val="left" w:pos="540"/>
          <w:tab w:val="left" w:pos="900"/>
          <w:tab w:val="left" w:pos="3420"/>
        </w:tabs>
        <w:spacing w:line="360" w:lineRule="auto"/>
        <w:ind w:firstLine="660" w:firstLineChars="300"/>
        <w:rPr>
          <w:szCs w:val="21"/>
        </w:rPr>
      </w:pPr>
      <w:r>
        <w:rPr>
          <w:rFonts w:hint="eastAsia"/>
          <w:szCs w:val="21"/>
          <w:lang w:val="en-US" w:eastAsia="zh-CN"/>
        </w:rPr>
        <w:t>1</w:t>
      </w:r>
      <w:r>
        <w:rPr>
          <w:rFonts w:hint="eastAsia"/>
          <w:szCs w:val="21"/>
        </w:rPr>
        <w:t>、2021年推案建议</w:t>
      </w:r>
      <w:r>
        <w:rPr>
          <w:rFonts w:hint="eastAsia"/>
          <w:szCs w:val="21"/>
          <w:lang w:val="en-US" w:eastAsia="zh-CN"/>
        </w:rPr>
        <w:t>{</w:t>
      </w:r>
      <w:r>
        <w:rPr>
          <w:rFonts w:hint="eastAsia"/>
          <w:szCs w:val="21"/>
          <w:lang w:val="en-US"/>
        </w:rPr>
        <w:t>包含但不限于</w:t>
      </w:r>
      <w:r>
        <w:rPr>
          <w:rFonts w:hint="eastAsia"/>
          <w:szCs w:val="21"/>
          <w:lang w:eastAsia="zh-CN"/>
        </w:rPr>
        <w:t>（</w:t>
      </w:r>
      <w:r>
        <w:rPr>
          <w:rFonts w:hint="eastAsia"/>
          <w:szCs w:val="21"/>
        </w:rPr>
        <w:t>开盘时间、</w:t>
      </w:r>
      <w:r>
        <w:rPr>
          <w:rFonts w:hint="eastAsia"/>
          <w:szCs w:val="21"/>
          <w:lang w:val="en-US"/>
        </w:rPr>
        <w:t>推售节点</w:t>
      </w:r>
      <w:r>
        <w:rPr>
          <w:rFonts w:hint="eastAsia"/>
          <w:szCs w:val="21"/>
        </w:rPr>
        <w:t>、去化速度</w:t>
      </w:r>
      <w:r>
        <w:rPr>
          <w:rFonts w:hint="eastAsia"/>
          <w:szCs w:val="21"/>
          <w:lang w:eastAsia="zh-CN"/>
        </w:rPr>
        <w:t>）</w:t>
      </w:r>
      <w:r>
        <w:rPr>
          <w:rFonts w:hint="eastAsia"/>
          <w:szCs w:val="21"/>
        </w:rPr>
        <w:t>等</w:t>
      </w:r>
      <w:r>
        <w:rPr>
          <w:rFonts w:hint="eastAsia"/>
          <w:szCs w:val="21"/>
          <w:lang w:val="en-US" w:eastAsia="zh-CN"/>
        </w:rPr>
        <w:t>}；</w:t>
      </w:r>
    </w:p>
    <w:p>
      <w:pPr>
        <w:tabs>
          <w:tab w:val="left" w:pos="540"/>
          <w:tab w:val="left" w:pos="900"/>
          <w:tab w:val="left" w:pos="3420"/>
        </w:tabs>
        <w:spacing w:line="360" w:lineRule="auto"/>
        <w:ind w:firstLine="660" w:firstLineChars="300"/>
        <w:rPr>
          <w:rFonts w:hint="eastAsia"/>
          <w:szCs w:val="21"/>
        </w:rPr>
      </w:pPr>
      <w:r>
        <w:rPr>
          <w:rFonts w:hint="eastAsia"/>
          <w:szCs w:val="21"/>
          <w:lang w:val="en-US" w:eastAsia="zh-CN"/>
        </w:rPr>
        <w:t>2、</w:t>
      </w:r>
      <w:r>
        <w:rPr>
          <w:rFonts w:hint="eastAsia"/>
          <w:szCs w:val="21"/>
        </w:rPr>
        <w:t>整体推广思路</w:t>
      </w:r>
      <w:r>
        <w:rPr>
          <w:rFonts w:hint="eastAsia"/>
          <w:szCs w:val="21"/>
          <w:lang w:val="en-US" w:eastAsia="zh-CN"/>
        </w:rPr>
        <w:t>{</w:t>
      </w:r>
      <w:r>
        <w:rPr>
          <w:rFonts w:hint="eastAsia"/>
          <w:szCs w:val="21"/>
        </w:rPr>
        <w:t>包括但不限于：整案推广策略、活动策略以及对应平面展示、分阶段推广策略、活动建议、重要节点活动建议（线上与线下活动）</w:t>
      </w:r>
      <w:r>
        <w:rPr>
          <w:rFonts w:hint="eastAsia"/>
          <w:szCs w:val="21"/>
          <w:lang w:val="en-US" w:eastAsia="zh-CN"/>
        </w:rPr>
        <w:t>}</w:t>
      </w:r>
      <w:r>
        <w:rPr>
          <w:rFonts w:hint="eastAsia"/>
          <w:szCs w:val="21"/>
        </w:rPr>
        <w:t>；</w:t>
      </w:r>
    </w:p>
    <w:p>
      <w:pPr>
        <w:tabs>
          <w:tab w:val="left" w:pos="540"/>
          <w:tab w:val="left" w:pos="900"/>
          <w:tab w:val="left" w:pos="3420"/>
        </w:tabs>
        <w:spacing w:line="360" w:lineRule="auto"/>
        <w:ind w:firstLine="660" w:firstLineChars="300"/>
        <w:rPr>
          <w:rFonts w:hint="eastAsia"/>
          <w:szCs w:val="21"/>
        </w:rPr>
      </w:pPr>
      <w:r>
        <w:rPr>
          <w:rFonts w:hint="eastAsia"/>
          <w:szCs w:val="21"/>
          <w:lang w:val="en-US" w:eastAsia="zh-CN"/>
        </w:rPr>
        <w:t>3</w:t>
      </w:r>
      <w:r>
        <w:rPr>
          <w:rFonts w:hint="eastAsia"/>
          <w:szCs w:val="21"/>
        </w:rPr>
        <w:t>、不同销售阶段、不同形态产品的整合传播策略和媒体组合及运用分析。</w:t>
      </w:r>
    </w:p>
    <w:p>
      <w:pPr>
        <w:tabs>
          <w:tab w:val="left" w:pos="540"/>
          <w:tab w:val="left" w:pos="900"/>
          <w:tab w:val="left" w:pos="3420"/>
        </w:tabs>
        <w:spacing w:line="360" w:lineRule="auto"/>
        <w:ind w:firstLine="660" w:firstLineChars="300"/>
        <w:rPr>
          <w:szCs w:val="21"/>
        </w:rPr>
      </w:pPr>
      <w:r>
        <w:rPr>
          <w:rFonts w:hint="eastAsia"/>
          <w:szCs w:val="21"/>
          <w:lang w:val="en-US" w:eastAsia="zh-CN"/>
        </w:rPr>
        <w:t>b</w:t>
      </w:r>
      <w:r>
        <w:rPr>
          <w:rFonts w:hint="eastAsia"/>
          <w:szCs w:val="21"/>
          <w:lang w:val="en-US"/>
        </w:rPr>
        <w:t>.</w:t>
      </w:r>
      <w:r>
        <w:rPr>
          <w:rFonts w:hint="eastAsia"/>
          <w:szCs w:val="21"/>
        </w:rPr>
        <w:t>项目价格策略（开盘均价、全盘均价等）；</w:t>
      </w:r>
    </w:p>
    <w:p>
      <w:pPr>
        <w:tabs>
          <w:tab w:val="left" w:pos="540"/>
          <w:tab w:val="left" w:pos="900"/>
          <w:tab w:val="left" w:pos="3420"/>
        </w:tabs>
        <w:spacing w:line="360" w:lineRule="auto"/>
        <w:ind w:firstLine="442" w:firstLineChars="200"/>
        <w:rPr>
          <w:bCs/>
          <w:szCs w:val="21"/>
        </w:rPr>
      </w:pPr>
      <w:r>
        <w:rPr>
          <w:rFonts w:hint="eastAsia"/>
          <w:b/>
          <w:szCs w:val="21"/>
        </w:rPr>
        <w:t>C、商务部分</w:t>
      </w:r>
    </w:p>
    <w:p>
      <w:pPr>
        <w:tabs>
          <w:tab w:val="left" w:pos="540"/>
          <w:tab w:val="left" w:pos="900"/>
          <w:tab w:val="left" w:pos="3420"/>
        </w:tabs>
        <w:spacing w:line="360" w:lineRule="auto"/>
        <w:ind w:firstLine="440" w:firstLineChars="200"/>
        <w:rPr>
          <w:szCs w:val="21"/>
          <w:lang w:val="en-US"/>
        </w:rPr>
      </w:pPr>
      <w:r>
        <w:rPr>
          <w:rFonts w:hint="eastAsia"/>
          <w:szCs w:val="21"/>
        </w:rPr>
        <w:t>（</w:t>
      </w:r>
      <w:r>
        <w:rPr>
          <w:rFonts w:hint="eastAsia"/>
          <w:szCs w:val="21"/>
          <w:lang w:val="en-US"/>
        </w:rPr>
        <w:t>1</w:t>
      </w:r>
      <w:r>
        <w:rPr>
          <w:rFonts w:hint="eastAsia"/>
          <w:szCs w:val="21"/>
        </w:rPr>
        <w:t>）</w:t>
      </w:r>
      <w:r>
        <w:rPr>
          <w:rFonts w:hint="eastAsia"/>
          <w:szCs w:val="21"/>
          <w:lang w:val="en-US"/>
        </w:rPr>
        <w:t>销售代理佣金</w:t>
      </w:r>
      <w:r>
        <w:rPr>
          <w:rFonts w:hint="eastAsia"/>
          <w:szCs w:val="21"/>
        </w:rPr>
        <w:t>占完成销售金额的</w:t>
      </w:r>
      <w:r>
        <w:rPr>
          <w:rFonts w:hint="eastAsia"/>
          <w:szCs w:val="21"/>
          <w:lang w:val="en-US"/>
        </w:rPr>
        <w:t>合计</w:t>
      </w:r>
      <w:r>
        <w:rPr>
          <w:rFonts w:hint="eastAsia"/>
          <w:szCs w:val="21"/>
        </w:rPr>
        <w:t>百分比</w:t>
      </w:r>
      <w:r>
        <w:rPr>
          <w:rFonts w:hint="eastAsia"/>
          <w:szCs w:val="21"/>
          <w:lang w:val="en-US"/>
        </w:rPr>
        <w:t>点数</w:t>
      </w:r>
      <w:r>
        <w:rPr>
          <w:rFonts w:hint="eastAsia"/>
          <w:szCs w:val="21"/>
          <w:u w:val="single"/>
          <w:lang w:val="en-US"/>
        </w:rPr>
        <w:t xml:space="preserve">  </w:t>
      </w:r>
      <w:r>
        <w:rPr>
          <w:rFonts w:hint="eastAsia"/>
          <w:szCs w:val="21"/>
          <w:lang w:val="en-US"/>
        </w:rPr>
        <w:t>%（住宅）；</w:t>
      </w:r>
    </w:p>
    <w:p>
      <w:pPr>
        <w:tabs>
          <w:tab w:val="left" w:pos="540"/>
          <w:tab w:val="left" w:pos="900"/>
          <w:tab w:val="left" w:pos="3420"/>
        </w:tabs>
        <w:spacing w:line="360" w:lineRule="auto"/>
        <w:ind w:firstLine="440" w:firstLineChars="200"/>
        <w:rPr>
          <w:rFonts w:hint="eastAsia" w:eastAsia="宋体"/>
          <w:szCs w:val="21"/>
          <w:lang w:eastAsia="zh-CN"/>
        </w:rPr>
      </w:pPr>
      <w:r>
        <w:rPr>
          <w:rFonts w:hint="eastAsia"/>
          <w:szCs w:val="21"/>
        </w:rPr>
        <w:t>（</w:t>
      </w:r>
      <w:r>
        <w:rPr>
          <w:rFonts w:hint="eastAsia"/>
          <w:szCs w:val="21"/>
          <w:lang w:val="en-US" w:eastAsia="zh-CN"/>
        </w:rPr>
        <w:t>2</w:t>
      </w:r>
      <w:r>
        <w:rPr>
          <w:rFonts w:hint="eastAsia"/>
          <w:szCs w:val="21"/>
        </w:rPr>
        <w:t>）</w:t>
      </w:r>
      <w:r>
        <w:rPr>
          <w:rFonts w:hint="eastAsia"/>
          <w:szCs w:val="21"/>
          <w:lang w:val="en-US"/>
        </w:rPr>
        <w:t>销售</w:t>
      </w:r>
      <w:r>
        <w:rPr>
          <w:rFonts w:hint="eastAsia"/>
          <w:szCs w:val="21"/>
        </w:rPr>
        <w:t>代理服务具体内容</w:t>
      </w:r>
      <w:r>
        <w:rPr>
          <w:rFonts w:hint="eastAsia"/>
          <w:szCs w:val="21"/>
          <w:lang w:eastAsia="zh-CN"/>
        </w:rPr>
        <w:t>见</w:t>
      </w:r>
      <w:r>
        <w:rPr>
          <w:rFonts w:hint="eastAsia"/>
          <w:szCs w:val="21"/>
        </w:rPr>
        <w:t>详单；(以附件</w:t>
      </w:r>
      <w:r>
        <w:rPr>
          <w:rFonts w:hint="eastAsia"/>
          <w:szCs w:val="21"/>
          <w:lang w:eastAsia="zh-CN"/>
        </w:rPr>
        <w:t>六</w:t>
      </w:r>
      <w:r>
        <w:rPr>
          <w:rFonts w:hint="eastAsia"/>
          <w:szCs w:val="21"/>
        </w:rPr>
        <w:t>为准,要求提供按附件完成各项工作的承诺)</w:t>
      </w:r>
      <w:r>
        <w:rPr>
          <w:rFonts w:hint="eastAsia"/>
          <w:szCs w:val="21"/>
          <w:lang w:eastAsia="zh-CN"/>
        </w:rPr>
        <w:t>；</w:t>
      </w:r>
    </w:p>
    <w:p>
      <w:pPr>
        <w:tabs>
          <w:tab w:val="left" w:pos="540"/>
          <w:tab w:val="left" w:pos="900"/>
          <w:tab w:val="left" w:pos="3420"/>
        </w:tabs>
        <w:spacing w:line="360" w:lineRule="auto"/>
        <w:ind w:firstLine="442" w:firstLineChars="200"/>
        <w:rPr>
          <w:b/>
          <w:szCs w:val="21"/>
        </w:rPr>
      </w:pPr>
      <w:r>
        <w:rPr>
          <w:rFonts w:hint="eastAsia"/>
          <w:b/>
          <w:szCs w:val="21"/>
        </w:rPr>
        <w:t>D、基础部分</w:t>
      </w:r>
    </w:p>
    <w:p>
      <w:pPr>
        <w:tabs>
          <w:tab w:val="left" w:pos="540"/>
          <w:tab w:val="left" w:pos="900"/>
          <w:tab w:val="left" w:pos="3420"/>
        </w:tabs>
        <w:spacing w:line="360" w:lineRule="auto"/>
        <w:ind w:firstLine="440" w:firstLineChars="200"/>
        <w:rPr>
          <w:szCs w:val="21"/>
        </w:rPr>
      </w:pPr>
      <w:r>
        <w:rPr>
          <w:rFonts w:hint="eastAsia"/>
          <w:szCs w:val="21"/>
        </w:rPr>
        <w:t>1、法人资格证明书或法人授权委托书</w:t>
      </w:r>
    </w:p>
    <w:p>
      <w:pPr>
        <w:tabs>
          <w:tab w:val="left" w:pos="540"/>
          <w:tab w:val="left" w:pos="900"/>
          <w:tab w:val="left" w:pos="3420"/>
        </w:tabs>
        <w:spacing w:line="360" w:lineRule="auto"/>
        <w:ind w:firstLine="440" w:firstLineChars="200"/>
        <w:rPr>
          <w:szCs w:val="21"/>
        </w:rPr>
      </w:pPr>
      <w:r>
        <w:rPr>
          <w:rFonts w:hint="eastAsia"/>
          <w:szCs w:val="21"/>
        </w:rPr>
        <w:t>2、接受招标文件的函</w:t>
      </w:r>
    </w:p>
    <w:p>
      <w:pPr>
        <w:tabs>
          <w:tab w:val="left" w:pos="540"/>
          <w:tab w:val="left" w:pos="900"/>
          <w:tab w:val="left" w:pos="3420"/>
        </w:tabs>
        <w:spacing w:line="360" w:lineRule="auto"/>
        <w:ind w:firstLine="440" w:firstLineChars="200"/>
        <w:rPr>
          <w:szCs w:val="21"/>
        </w:rPr>
      </w:pPr>
      <w:r>
        <w:rPr>
          <w:rFonts w:hint="eastAsia"/>
          <w:szCs w:val="21"/>
        </w:rPr>
        <w:t>3、营业执照及资质证书复印件（开标时要求投标单位提供原件核对）。</w:t>
      </w:r>
    </w:p>
    <w:p>
      <w:pPr>
        <w:tabs>
          <w:tab w:val="left" w:pos="540"/>
          <w:tab w:val="left" w:pos="900"/>
          <w:tab w:val="left" w:pos="3420"/>
        </w:tabs>
        <w:spacing w:line="360" w:lineRule="auto"/>
        <w:ind w:firstLine="442" w:firstLineChars="200"/>
        <w:outlineLvl w:val="1"/>
        <w:rPr>
          <w:b/>
          <w:szCs w:val="21"/>
        </w:rPr>
      </w:pPr>
      <w:bookmarkStart w:id="15" w:name="_Toc8970_WPSOffice_Level2"/>
      <w:r>
        <w:rPr>
          <w:rFonts w:hint="eastAsia"/>
          <w:b/>
          <w:szCs w:val="21"/>
        </w:rPr>
        <w:t>二、投标文件的份数和签署</w:t>
      </w:r>
      <w:bookmarkEnd w:id="15"/>
    </w:p>
    <w:p>
      <w:pPr>
        <w:tabs>
          <w:tab w:val="left" w:pos="540"/>
          <w:tab w:val="left" w:pos="900"/>
          <w:tab w:val="left" w:pos="3420"/>
        </w:tabs>
        <w:spacing w:line="360" w:lineRule="auto"/>
        <w:ind w:firstLine="440" w:firstLineChars="200"/>
        <w:rPr>
          <w:szCs w:val="21"/>
          <w:lang w:val="en-US"/>
        </w:rPr>
      </w:pPr>
      <w:r>
        <w:rPr>
          <w:rFonts w:hint="eastAsia"/>
          <w:szCs w:val="21"/>
        </w:rPr>
        <w:t>1、投标人必须编制前文所要求的投标文件一份“正本”和两份“副本”，并明确标明“正本”和“副本”。投标书文件正副本如有不一致之处，以正本为准。</w:t>
      </w:r>
      <w:r>
        <w:rPr>
          <w:rFonts w:hint="eastAsia"/>
          <w:szCs w:val="21"/>
          <w:lang w:val="en-US"/>
        </w:rPr>
        <w:t>综合部分与技术部分合并封装，商务部分与基础部分合并封装。</w:t>
      </w:r>
    </w:p>
    <w:p>
      <w:pPr>
        <w:tabs>
          <w:tab w:val="left" w:pos="540"/>
          <w:tab w:val="left" w:pos="900"/>
          <w:tab w:val="left" w:pos="3420"/>
        </w:tabs>
        <w:spacing w:line="360" w:lineRule="auto"/>
        <w:ind w:firstLine="440" w:firstLineChars="200"/>
        <w:rPr>
          <w:szCs w:val="21"/>
        </w:rPr>
      </w:pPr>
      <w:r>
        <w:rPr>
          <w:rFonts w:hint="eastAsia"/>
          <w:szCs w:val="21"/>
        </w:rPr>
        <w:t>2、投标文件的正本与副本均应使用不能擦去的墨水打印或书写，按具体要求由投标人加盖公章和法定代表人或法定代表人委托的代理人印鉴或签字。</w:t>
      </w:r>
    </w:p>
    <w:p>
      <w:pPr>
        <w:tabs>
          <w:tab w:val="left" w:pos="540"/>
          <w:tab w:val="left" w:pos="900"/>
          <w:tab w:val="left" w:pos="3420"/>
        </w:tabs>
        <w:spacing w:line="360" w:lineRule="auto"/>
        <w:ind w:firstLine="440" w:firstLineChars="200"/>
        <w:rPr>
          <w:szCs w:val="21"/>
        </w:rPr>
      </w:pPr>
      <w:r>
        <w:rPr>
          <w:rFonts w:hint="eastAsia"/>
          <w:szCs w:val="21"/>
        </w:rPr>
        <w:t>3、全套投标文件中不允许有任何涂改和行间插字。</w:t>
      </w:r>
    </w:p>
    <w:p>
      <w:pPr>
        <w:tabs>
          <w:tab w:val="left" w:pos="540"/>
          <w:tab w:val="left" w:pos="900"/>
          <w:tab w:val="left" w:pos="3420"/>
        </w:tabs>
        <w:spacing w:line="360" w:lineRule="auto"/>
        <w:ind w:left="660" w:leftChars="300"/>
        <w:rPr>
          <w:szCs w:val="21"/>
        </w:rPr>
      </w:pPr>
    </w:p>
    <w:p>
      <w:pPr>
        <w:tabs>
          <w:tab w:val="left" w:pos="540"/>
          <w:tab w:val="left" w:pos="900"/>
          <w:tab w:val="left" w:pos="3420"/>
        </w:tabs>
        <w:spacing w:line="360" w:lineRule="auto"/>
        <w:jc w:val="center"/>
        <w:outlineLvl w:val="0"/>
        <w:rPr>
          <w:b/>
          <w:sz w:val="32"/>
          <w:szCs w:val="32"/>
        </w:rPr>
      </w:pPr>
      <w:bookmarkStart w:id="16" w:name="_Toc22905_WPSOffice_Level1"/>
    </w:p>
    <w:p>
      <w:pPr>
        <w:tabs>
          <w:tab w:val="left" w:pos="540"/>
          <w:tab w:val="left" w:pos="900"/>
          <w:tab w:val="left" w:pos="3420"/>
        </w:tabs>
        <w:spacing w:line="360" w:lineRule="auto"/>
        <w:jc w:val="center"/>
        <w:outlineLvl w:val="0"/>
        <w:rPr>
          <w:b/>
          <w:sz w:val="32"/>
          <w:szCs w:val="32"/>
        </w:rPr>
      </w:pPr>
    </w:p>
    <w:p>
      <w:pPr>
        <w:tabs>
          <w:tab w:val="left" w:pos="540"/>
          <w:tab w:val="left" w:pos="900"/>
          <w:tab w:val="left" w:pos="3420"/>
        </w:tabs>
        <w:spacing w:line="360" w:lineRule="auto"/>
        <w:jc w:val="center"/>
        <w:outlineLvl w:val="0"/>
        <w:rPr>
          <w:b/>
          <w:sz w:val="32"/>
          <w:szCs w:val="32"/>
        </w:rPr>
      </w:pPr>
    </w:p>
    <w:p>
      <w:pPr>
        <w:tabs>
          <w:tab w:val="left" w:pos="540"/>
          <w:tab w:val="left" w:pos="900"/>
          <w:tab w:val="left" w:pos="3420"/>
        </w:tabs>
        <w:spacing w:line="360" w:lineRule="auto"/>
        <w:jc w:val="center"/>
        <w:outlineLvl w:val="0"/>
        <w:rPr>
          <w:b/>
          <w:sz w:val="32"/>
          <w:szCs w:val="32"/>
        </w:rPr>
      </w:pPr>
      <w:r>
        <w:rPr>
          <w:rFonts w:hint="eastAsia"/>
          <w:b/>
          <w:sz w:val="32"/>
          <w:szCs w:val="32"/>
        </w:rPr>
        <w:t>第四章  投标文件的递交</w:t>
      </w:r>
      <w:bookmarkEnd w:id="16"/>
    </w:p>
    <w:p>
      <w:pPr>
        <w:tabs>
          <w:tab w:val="left" w:pos="540"/>
          <w:tab w:val="left" w:pos="900"/>
          <w:tab w:val="left" w:pos="3420"/>
        </w:tabs>
        <w:spacing w:line="360" w:lineRule="auto"/>
        <w:outlineLvl w:val="1"/>
        <w:rPr>
          <w:b/>
          <w:szCs w:val="21"/>
        </w:rPr>
      </w:pPr>
      <w:bookmarkStart w:id="17" w:name="_Toc1493_WPSOffice_Level2"/>
      <w:r>
        <w:rPr>
          <w:rFonts w:hint="eastAsia"/>
          <w:b/>
          <w:szCs w:val="21"/>
        </w:rPr>
        <w:t>一、投标书的封装</w:t>
      </w:r>
      <w:bookmarkEnd w:id="17"/>
    </w:p>
    <w:p>
      <w:pPr>
        <w:tabs>
          <w:tab w:val="left" w:pos="540"/>
          <w:tab w:val="left" w:pos="900"/>
          <w:tab w:val="left" w:pos="3420"/>
        </w:tabs>
        <w:spacing w:line="360" w:lineRule="auto"/>
        <w:rPr>
          <w:szCs w:val="21"/>
        </w:rPr>
      </w:pPr>
      <w:r>
        <w:rPr>
          <w:rFonts w:hint="eastAsia"/>
          <w:szCs w:val="21"/>
        </w:rPr>
        <w:t xml:space="preserve">    1、投标文件正本和副本均须在骑页边加盖投标人公章。纸张统一使用A4纸装订。</w:t>
      </w:r>
    </w:p>
    <w:p>
      <w:pPr>
        <w:tabs>
          <w:tab w:val="left" w:pos="540"/>
          <w:tab w:val="left" w:pos="900"/>
          <w:tab w:val="left" w:pos="3420"/>
        </w:tabs>
        <w:spacing w:line="360" w:lineRule="auto"/>
        <w:ind w:firstLine="440" w:firstLineChars="200"/>
        <w:rPr>
          <w:szCs w:val="21"/>
        </w:rPr>
      </w:pPr>
      <w:r>
        <w:rPr>
          <w:rFonts w:hint="eastAsia"/>
          <w:szCs w:val="21"/>
        </w:rPr>
        <w:t>2、投标人应将投标书正本和副本分别封装两个包封中，并在包封上正确注明“正本”或“副本”字样。包封上应注明：</w:t>
      </w:r>
    </w:p>
    <w:p>
      <w:pPr>
        <w:tabs>
          <w:tab w:val="left" w:pos="540"/>
          <w:tab w:val="left" w:pos="900"/>
          <w:tab w:val="left" w:pos="3420"/>
        </w:tabs>
        <w:spacing w:line="360" w:lineRule="auto"/>
        <w:ind w:firstLine="440" w:firstLineChars="200"/>
        <w:outlineLvl w:val="2"/>
        <w:rPr>
          <w:szCs w:val="21"/>
        </w:rPr>
      </w:pPr>
      <w:r>
        <w:rPr>
          <w:rFonts w:hint="eastAsia"/>
          <w:szCs w:val="21"/>
        </w:rPr>
        <w:t>（1）招标人名称及投标人名称；</w:t>
      </w:r>
    </w:p>
    <w:p>
      <w:pPr>
        <w:tabs>
          <w:tab w:val="left" w:pos="540"/>
          <w:tab w:val="left" w:pos="900"/>
          <w:tab w:val="left" w:pos="3420"/>
        </w:tabs>
        <w:spacing w:line="360" w:lineRule="auto"/>
        <w:ind w:firstLine="440" w:firstLineChars="200"/>
        <w:outlineLvl w:val="2"/>
        <w:rPr>
          <w:szCs w:val="21"/>
        </w:rPr>
      </w:pPr>
      <w:r>
        <w:rPr>
          <w:rFonts w:hint="eastAsia"/>
          <w:szCs w:val="21"/>
        </w:rPr>
        <w:t>（2）</w:t>
      </w:r>
      <w:r>
        <w:rPr>
          <w:rFonts w:hint="eastAsia"/>
          <w:szCs w:val="21"/>
          <w:lang w:val="en-US"/>
        </w:rPr>
        <w:t>xxxxx房地产有限公司</w:t>
      </w:r>
      <w:r>
        <w:rPr>
          <w:rFonts w:hint="eastAsia"/>
          <w:szCs w:val="21"/>
          <w:lang w:val="en-US" w:eastAsia="zh-CN"/>
        </w:rPr>
        <w:t>销售代理</w:t>
      </w:r>
      <w:r>
        <w:rPr>
          <w:rFonts w:hint="eastAsia"/>
          <w:szCs w:val="21"/>
        </w:rPr>
        <w:t>标书名称；</w:t>
      </w:r>
    </w:p>
    <w:p>
      <w:pPr>
        <w:tabs>
          <w:tab w:val="left" w:pos="540"/>
          <w:tab w:val="left" w:pos="900"/>
          <w:tab w:val="left" w:pos="3420"/>
        </w:tabs>
        <w:spacing w:line="360" w:lineRule="auto"/>
        <w:ind w:firstLine="440" w:firstLineChars="200"/>
        <w:outlineLvl w:val="2"/>
        <w:rPr>
          <w:szCs w:val="21"/>
        </w:rPr>
      </w:pPr>
      <w:r>
        <w:rPr>
          <w:rFonts w:hint="eastAsia"/>
          <w:szCs w:val="21"/>
        </w:rPr>
        <w:t>（3）“开标前不得开封”字样，同时在封口处加盖公章。</w:t>
      </w:r>
    </w:p>
    <w:p>
      <w:pPr>
        <w:tabs>
          <w:tab w:val="left" w:pos="0"/>
          <w:tab w:val="left" w:pos="900"/>
          <w:tab w:val="left" w:pos="3420"/>
        </w:tabs>
        <w:spacing w:line="360" w:lineRule="auto"/>
        <w:ind w:firstLine="440" w:firstLineChars="200"/>
        <w:rPr>
          <w:szCs w:val="21"/>
        </w:rPr>
      </w:pPr>
      <w:r>
        <w:rPr>
          <w:rFonts w:hint="eastAsia"/>
          <w:szCs w:val="21"/>
        </w:rPr>
        <w:t>3、包封上应注明投标人的名称与地址，以便投标人被宣布迟到时，能原封退回。在规定时间之后收到的投标书，将被原封退还投标人，并注明收到投标书的详细日期和时间。</w:t>
      </w:r>
    </w:p>
    <w:p>
      <w:pPr>
        <w:tabs>
          <w:tab w:val="left" w:pos="0"/>
          <w:tab w:val="left" w:pos="900"/>
          <w:tab w:val="left" w:pos="3420"/>
        </w:tabs>
        <w:spacing w:line="360" w:lineRule="auto"/>
        <w:ind w:firstLine="440" w:firstLineChars="200"/>
        <w:rPr>
          <w:szCs w:val="21"/>
        </w:rPr>
      </w:pPr>
      <w:r>
        <w:rPr>
          <w:rFonts w:hint="eastAsia"/>
          <w:szCs w:val="21"/>
        </w:rPr>
        <w:t>4、如果外层包封上没有按上述规定密封并加写标志，招标人将不承担标书错放或提前开封的责任，由此造成的过早开封的投标书，招标人将予以拒绝，并退还给投标人。</w:t>
      </w:r>
    </w:p>
    <w:p>
      <w:pPr>
        <w:tabs>
          <w:tab w:val="left" w:pos="0"/>
          <w:tab w:val="left" w:pos="540"/>
          <w:tab w:val="left" w:pos="900"/>
          <w:tab w:val="left" w:pos="3420"/>
        </w:tabs>
        <w:spacing w:line="360" w:lineRule="auto"/>
        <w:rPr>
          <w:szCs w:val="21"/>
        </w:rPr>
      </w:pPr>
    </w:p>
    <w:p>
      <w:pPr>
        <w:tabs>
          <w:tab w:val="left" w:pos="540"/>
          <w:tab w:val="left" w:pos="900"/>
          <w:tab w:val="left" w:pos="3420"/>
        </w:tabs>
        <w:spacing w:line="360" w:lineRule="auto"/>
        <w:outlineLvl w:val="1"/>
        <w:rPr>
          <w:b/>
          <w:szCs w:val="21"/>
        </w:rPr>
      </w:pPr>
      <w:bookmarkStart w:id="18" w:name="_Toc4085_WPSOffice_Level2"/>
      <w:r>
        <w:rPr>
          <w:rFonts w:hint="eastAsia"/>
          <w:b/>
          <w:szCs w:val="21"/>
        </w:rPr>
        <w:t>二、投标截止日期</w:t>
      </w:r>
      <w:bookmarkEnd w:id="18"/>
    </w:p>
    <w:p>
      <w:pPr>
        <w:tabs>
          <w:tab w:val="left" w:pos="540"/>
          <w:tab w:val="left" w:pos="900"/>
          <w:tab w:val="left" w:pos="3420"/>
        </w:tabs>
        <w:spacing w:line="360" w:lineRule="auto"/>
        <w:rPr>
          <w:color w:val="000000" w:themeColor="text1"/>
          <w:szCs w:val="21"/>
          <w14:textFill>
            <w14:solidFill>
              <w14:schemeClr w14:val="tx1"/>
            </w14:solidFill>
          </w14:textFill>
        </w:rPr>
      </w:pPr>
      <w:r>
        <w:rPr>
          <w:rFonts w:hint="eastAsia"/>
          <w:szCs w:val="21"/>
        </w:rPr>
        <w:t xml:space="preserve">   </w:t>
      </w:r>
      <w:r>
        <w:rPr>
          <w:rFonts w:hint="eastAsia"/>
          <w:color w:val="000000" w:themeColor="text1"/>
          <w:szCs w:val="21"/>
          <w14:textFill>
            <w14:solidFill>
              <w14:schemeClr w14:val="tx1"/>
            </w14:solidFill>
          </w14:textFill>
        </w:rPr>
        <w:t xml:space="preserve"> 1、投标截止日期为前文中的投标截止日期</w:t>
      </w:r>
      <w:r>
        <w:rPr>
          <w:rFonts w:hint="eastAsia" w:ascii="宋体" w:hAnsi="宋体" w:cs="宋体"/>
          <w:color w:val="000000"/>
          <w:kern w:val="0"/>
          <w:sz w:val="23"/>
          <w:szCs w:val="23"/>
        </w:rPr>
        <w:t>202</w:t>
      </w:r>
      <w:r>
        <w:rPr>
          <w:rFonts w:hint="eastAsia" w:ascii="宋体" w:hAnsi="宋体" w:cs="宋体"/>
          <w:color w:val="000000"/>
          <w:kern w:val="0"/>
          <w:sz w:val="23"/>
          <w:szCs w:val="23"/>
          <w:lang w:val="en-US" w:eastAsia="zh-CN"/>
        </w:rPr>
        <w:t>1</w:t>
      </w:r>
      <w:r>
        <w:rPr>
          <w:rFonts w:hint="eastAsia" w:ascii="宋体" w:hAnsi="宋体" w:cs="宋体"/>
          <w:color w:val="000000"/>
          <w:kern w:val="0"/>
          <w:sz w:val="23"/>
          <w:szCs w:val="23"/>
        </w:rPr>
        <w:t>年</w:t>
      </w:r>
      <w:r>
        <w:rPr>
          <w:rFonts w:hint="eastAsia" w:ascii="宋体" w:hAnsi="宋体" w:cs="宋体"/>
          <w:color w:val="000000"/>
          <w:kern w:val="0"/>
          <w:sz w:val="23"/>
          <w:szCs w:val="23"/>
          <w:lang w:val="en-US" w:eastAsia="zh-CN"/>
        </w:rPr>
        <w:t>8</w:t>
      </w:r>
      <w:r>
        <w:rPr>
          <w:rFonts w:hint="eastAsia" w:ascii="宋体" w:hAnsi="宋体" w:cs="宋体"/>
          <w:color w:val="000000"/>
          <w:kern w:val="0"/>
          <w:sz w:val="23"/>
          <w:szCs w:val="23"/>
        </w:rPr>
        <w:t>月</w:t>
      </w:r>
      <w:r>
        <w:rPr>
          <w:rFonts w:hint="eastAsia" w:ascii="宋体" w:hAnsi="宋体" w:cs="宋体"/>
          <w:color w:val="000000"/>
          <w:kern w:val="0"/>
          <w:sz w:val="23"/>
          <w:szCs w:val="23"/>
          <w:lang w:val="en-US" w:eastAsia="zh-CN"/>
        </w:rPr>
        <w:t>1</w:t>
      </w:r>
      <w:r>
        <w:rPr>
          <w:rFonts w:hint="eastAsia" w:cs="宋体"/>
          <w:color w:val="000000"/>
          <w:kern w:val="0"/>
          <w:sz w:val="23"/>
          <w:szCs w:val="23"/>
          <w:lang w:val="en-US" w:eastAsia="zh-CN"/>
        </w:rPr>
        <w:t>6</w:t>
      </w:r>
      <w:r>
        <w:rPr>
          <w:rFonts w:hint="eastAsia" w:ascii="宋体" w:hAnsi="宋体" w:cs="宋体"/>
          <w:color w:val="000000"/>
          <w:kern w:val="0"/>
          <w:sz w:val="23"/>
          <w:szCs w:val="23"/>
        </w:rPr>
        <w:t>日</w:t>
      </w:r>
      <w:r>
        <w:rPr>
          <w:rFonts w:hint="eastAsia" w:cs="宋体"/>
          <w:color w:val="000000"/>
          <w:kern w:val="0"/>
          <w:sz w:val="23"/>
          <w:szCs w:val="23"/>
          <w:lang w:eastAsia="zh-CN"/>
        </w:rPr>
        <w:t>上午</w:t>
      </w:r>
      <w:r>
        <w:rPr>
          <w:rFonts w:hint="eastAsia" w:cs="宋体"/>
          <w:color w:val="000000"/>
          <w:kern w:val="0"/>
          <w:sz w:val="23"/>
          <w:szCs w:val="23"/>
          <w:lang w:val="en-US" w:eastAsia="zh-CN"/>
        </w:rPr>
        <w:t>9点</w:t>
      </w:r>
      <w:r>
        <w:rPr>
          <w:rFonts w:hint="eastAsia"/>
          <w:color w:val="000000" w:themeColor="text1"/>
          <w:szCs w:val="21"/>
          <w14:textFill>
            <w14:solidFill>
              <w14:schemeClr w14:val="tx1"/>
            </w14:solidFill>
          </w14:textFill>
        </w:rPr>
        <w:t>。</w:t>
      </w:r>
    </w:p>
    <w:p>
      <w:pPr>
        <w:spacing w:line="360" w:lineRule="auto"/>
        <w:ind w:firstLine="420"/>
        <w:rPr>
          <w:szCs w:val="21"/>
        </w:rPr>
      </w:pPr>
      <w:r>
        <w:rPr>
          <w:rFonts w:hint="eastAsia"/>
          <w:color w:val="000000" w:themeColor="text1"/>
          <w:szCs w:val="21"/>
          <w14:textFill>
            <w14:solidFill>
              <w14:schemeClr w14:val="tx1"/>
            </w14:solidFill>
          </w14:textFill>
        </w:rPr>
        <w:t>2、因发放补充通知的原因，招标人可根据前文所述酌情延长递交投标文</w:t>
      </w:r>
      <w:r>
        <w:rPr>
          <w:rFonts w:hint="eastAsia"/>
          <w:szCs w:val="21"/>
        </w:rPr>
        <w:t>件截止日期。</w:t>
      </w:r>
    </w:p>
    <w:p>
      <w:pPr>
        <w:spacing w:line="360" w:lineRule="auto"/>
        <w:ind w:firstLine="420"/>
        <w:rPr>
          <w:szCs w:val="21"/>
        </w:rPr>
      </w:pPr>
      <w:r>
        <w:rPr>
          <w:rFonts w:hint="eastAsia"/>
          <w:szCs w:val="21"/>
        </w:rPr>
        <w:t>3、招标人将拒绝投标截止期以后递交的投标文件。</w:t>
      </w:r>
    </w:p>
    <w:p/>
    <w:p/>
    <w:p/>
    <w:p/>
    <w:p>
      <w:pPr>
        <w:tabs>
          <w:tab w:val="left" w:pos="540"/>
          <w:tab w:val="left" w:pos="900"/>
          <w:tab w:val="left" w:pos="3420"/>
        </w:tabs>
        <w:spacing w:line="360" w:lineRule="auto"/>
        <w:jc w:val="center"/>
        <w:outlineLvl w:val="0"/>
        <w:rPr>
          <w:b/>
          <w:sz w:val="32"/>
          <w:szCs w:val="32"/>
        </w:rPr>
      </w:pPr>
      <w:bookmarkStart w:id="19" w:name="_Toc2413_WPSOffice_Level1"/>
      <w:r>
        <w:rPr>
          <w:rFonts w:hint="eastAsia"/>
          <w:b/>
          <w:sz w:val="32"/>
          <w:szCs w:val="32"/>
        </w:rPr>
        <w:t>第五章  开标与评标</w:t>
      </w:r>
      <w:bookmarkEnd w:id="19"/>
    </w:p>
    <w:p>
      <w:pPr>
        <w:tabs>
          <w:tab w:val="left" w:pos="540"/>
          <w:tab w:val="left" w:pos="900"/>
          <w:tab w:val="left" w:pos="3420"/>
        </w:tabs>
        <w:spacing w:line="360" w:lineRule="auto"/>
        <w:outlineLvl w:val="1"/>
        <w:rPr>
          <w:b/>
          <w:szCs w:val="21"/>
        </w:rPr>
      </w:pPr>
      <w:bookmarkStart w:id="20" w:name="_Toc17707_WPSOffice_Level2"/>
      <w:r>
        <w:rPr>
          <w:rFonts w:hint="eastAsia"/>
          <w:b/>
          <w:szCs w:val="21"/>
        </w:rPr>
        <w:t>一、开标</w:t>
      </w:r>
      <w:bookmarkEnd w:id="20"/>
    </w:p>
    <w:p>
      <w:pPr>
        <w:tabs>
          <w:tab w:val="left" w:pos="540"/>
          <w:tab w:val="left" w:pos="900"/>
          <w:tab w:val="left" w:pos="3420"/>
        </w:tabs>
        <w:spacing w:line="360" w:lineRule="auto"/>
        <w:rPr>
          <w:szCs w:val="21"/>
        </w:rPr>
      </w:pPr>
      <w:r>
        <w:rPr>
          <w:rFonts w:hint="eastAsia"/>
          <w:szCs w:val="21"/>
        </w:rPr>
        <w:t xml:space="preserve">   </w:t>
      </w:r>
      <w:r>
        <w:rPr>
          <w:rFonts w:hint="eastAsia"/>
          <w:color w:val="FF0000"/>
          <w:szCs w:val="21"/>
        </w:rPr>
        <w:t xml:space="preserve"> </w:t>
      </w:r>
      <w:r>
        <w:rPr>
          <w:rFonts w:hint="eastAsia"/>
          <w:szCs w:val="21"/>
        </w:rPr>
        <w:t>1、开标由招标方主持，</w:t>
      </w:r>
      <w:r>
        <w:rPr>
          <w:rFonts w:hint="eastAsia"/>
          <w:szCs w:val="21"/>
          <w:lang w:val="en-US"/>
        </w:rPr>
        <w:t>开标时间为</w:t>
      </w:r>
      <w:r>
        <w:rPr>
          <w:rFonts w:hint="eastAsia"/>
          <w:szCs w:val="21"/>
        </w:rPr>
        <w:t>2021年8月1</w:t>
      </w:r>
      <w:r>
        <w:rPr>
          <w:rFonts w:hint="eastAsia"/>
          <w:szCs w:val="21"/>
          <w:lang w:val="en-US" w:eastAsia="zh-CN"/>
        </w:rPr>
        <w:t>6</w:t>
      </w:r>
      <w:r>
        <w:rPr>
          <w:rFonts w:hint="eastAsia"/>
          <w:szCs w:val="21"/>
        </w:rPr>
        <w:t>日上午9点。</w:t>
      </w:r>
    </w:p>
    <w:p>
      <w:pPr>
        <w:tabs>
          <w:tab w:val="left" w:pos="540"/>
          <w:tab w:val="left" w:pos="900"/>
          <w:tab w:val="left" w:pos="3420"/>
        </w:tabs>
        <w:spacing w:line="360" w:lineRule="auto"/>
        <w:ind w:firstLine="440" w:firstLineChars="200"/>
        <w:rPr>
          <w:szCs w:val="21"/>
          <w:u w:val="single"/>
        </w:rPr>
      </w:pPr>
      <w:r>
        <w:rPr>
          <w:rFonts w:hint="eastAsia"/>
          <w:szCs w:val="21"/>
        </w:rPr>
        <w:t>2、开标时，由投标人代表检查投标文件的密封情况，经确认无误后，由工作人员当众拆封，记录投标人的名称、代理取费、项目经理姓名和其它招标人认为有必要的内容。投标文件未按照招标文件的要求予以密封的，将作为无效投标文件，退回投标人。</w:t>
      </w:r>
    </w:p>
    <w:p>
      <w:pPr>
        <w:tabs>
          <w:tab w:val="left" w:pos="540"/>
          <w:tab w:val="left" w:pos="900"/>
          <w:tab w:val="left" w:pos="3420"/>
        </w:tabs>
        <w:spacing w:line="360" w:lineRule="auto"/>
        <w:ind w:firstLine="440" w:firstLineChars="200"/>
        <w:rPr>
          <w:szCs w:val="21"/>
        </w:rPr>
      </w:pPr>
      <w:r>
        <w:rPr>
          <w:rFonts w:hint="eastAsia"/>
          <w:szCs w:val="21"/>
        </w:rPr>
        <w:t>3、招标人在截止时间前收到的所有文件，开标时都应当众拆封。</w:t>
      </w:r>
    </w:p>
    <w:p>
      <w:pPr>
        <w:tabs>
          <w:tab w:val="left" w:pos="540"/>
          <w:tab w:val="left" w:pos="900"/>
          <w:tab w:val="left" w:pos="3420"/>
        </w:tabs>
        <w:spacing w:line="360" w:lineRule="auto"/>
        <w:ind w:firstLine="440" w:firstLineChars="200"/>
        <w:rPr>
          <w:szCs w:val="21"/>
        </w:rPr>
      </w:pPr>
      <w:r>
        <w:rPr>
          <w:rFonts w:hint="eastAsia"/>
          <w:szCs w:val="21"/>
        </w:rPr>
        <w:t>4、在开标时，投标文件出现下列情形之一的，将作为无效投标文件，不得进入评标：</w:t>
      </w:r>
    </w:p>
    <w:p>
      <w:pPr>
        <w:spacing w:line="360" w:lineRule="auto"/>
        <w:ind w:firstLine="440" w:firstLineChars="200"/>
        <w:rPr>
          <w:szCs w:val="21"/>
        </w:rPr>
      </w:pPr>
      <w:r>
        <w:rPr>
          <w:rFonts w:hint="eastAsia"/>
          <w:szCs w:val="21"/>
        </w:rPr>
        <w:t>（1）投标文件未按招标文件的要求予以密封和标</w:t>
      </w:r>
      <w:r>
        <w:rPr>
          <w:rFonts w:hint="eastAsia"/>
          <w:szCs w:val="21"/>
          <w:lang w:eastAsia="zh-CN"/>
        </w:rPr>
        <w:t>记</w:t>
      </w:r>
      <w:r>
        <w:rPr>
          <w:rFonts w:hint="eastAsia"/>
          <w:szCs w:val="21"/>
        </w:rPr>
        <w:t>的；</w:t>
      </w:r>
    </w:p>
    <w:p>
      <w:pPr>
        <w:spacing w:line="360" w:lineRule="auto"/>
        <w:ind w:left="990" w:leftChars="200" w:hanging="550" w:hangingChars="250"/>
        <w:rPr>
          <w:szCs w:val="21"/>
        </w:rPr>
      </w:pPr>
      <w:r>
        <w:rPr>
          <w:rFonts w:hint="eastAsia"/>
          <w:szCs w:val="21"/>
        </w:rPr>
        <w:t>（2）投标文件中的投标函在规定的位置未加盖投标人公章的；</w:t>
      </w:r>
    </w:p>
    <w:p>
      <w:pPr>
        <w:spacing w:line="360" w:lineRule="auto"/>
        <w:ind w:firstLine="440" w:firstLineChars="200"/>
        <w:rPr>
          <w:szCs w:val="21"/>
        </w:rPr>
      </w:pPr>
      <w:r>
        <w:rPr>
          <w:rFonts w:hint="eastAsia"/>
          <w:szCs w:val="21"/>
        </w:rPr>
        <w:t xml:space="preserve">（3）投标文件不全的； </w:t>
      </w:r>
    </w:p>
    <w:p>
      <w:pPr>
        <w:spacing w:line="360" w:lineRule="auto"/>
        <w:ind w:firstLine="440" w:firstLineChars="200"/>
        <w:rPr>
          <w:szCs w:val="21"/>
        </w:rPr>
      </w:pPr>
      <w:r>
        <w:rPr>
          <w:rFonts w:hint="eastAsia"/>
          <w:szCs w:val="21"/>
        </w:rPr>
        <w:t>（</w:t>
      </w:r>
      <w:r>
        <w:rPr>
          <w:rFonts w:hint="eastAsia"/>
          <w:szCs w:val="21"/>
          <w:lang w:val="en-US" w:eastAsia="zh-CN"/>
        </w:rPr>
        <w:t>4</w:t>
      </w:r>
      <w:r>
        <w:rPr>
          <w:rFonts w:hint="eastAsia"/>
          <w:szCs w:val="21"/>
        </w:rPr>
        <w:t>）投标文件未按要求和格式编制装订及填写，内容不全或字迹模糊、辨认不清的；</w:t>
      </w:r>
    </w:p>
    <w:p>
      <w:pPr>
        <w:spacing w:line="360" w:lineRule="auto"/>
        <w:ind w:firstLine="440" w:firstLineChars="200"/>
        <w:rPr>
          <w:szCs w:val="21"/>
        </w:rPr>
      </w:pPr>
      <w:r>
        <w:rPr>
          <w:rFonts w:hint="eastAsia"/>
          <w:szCs w:val="21"/>
        </w:rPr>
        <w:t>（</w:t>
      </w:r>
      <w:r>
        <w:rPr>
          <w:rFonts w:hint="eastAsia"/>
          <w:szCs w:val="21"/>
          <w:lang w:val="en-US" w:eastAsia="zh-CN"/>
        </w:rPr>
        <w:t>5</w:t>
      </w:r>
      <w:r>
        <w:rPr>
          <w:rFonts w:hint="eastAsia"/>
          <w:szCs w:val="21"/>
        </w:rPr>
        <w:t>）投标人未按规定出席相关会议的。</w:t>
      </w:r>
    </w:p>
    <w:p>
      <w:pPr>
        <w:spacing w:line="360" w:lineRule="auto"/>
        <w:ind w:firstLine="440" w:firstLineChars="200"/>
        <w:rPr>
          <w:szCs w:val="21"/>
        </w:rPr>
      </w:pPr>
    </w:p>
    <w:p>
      <w:pPr>
        <w:tabs>
          <w:tab w:val="left" w:pos="540"/>
          <w:tab w:val="left" w:pos="900"/>
          <w:tab w:val="left" w:pos="3420"/>
        </w:tabs>
        <w:spacing w:line="360" w:lineRule="auto"/>
        <w:outlineLvl w:val="1"/>
        <w:rPr>
          <w:b/>
          <w:bCs/>
          <w:szCs w:val="21"/>
        </w:rPr>
      </w:pPr>
      <w:bookmarkStart w:id="21" w:name="_Toc2667_WPSOffice_Level2"/>
      <w:r>
        <w:rPr>
          <w:rFonts w:hint="eastAsia"/>
          <w:b/>
          <w:bCs/>
          <w:szCs w:val="21"/>
        </w:rPr>
        <w:t>二、评标</w:t>
      </w:r>
      <w:bookmarkEnd w:id="21"/>
    </w:p>
    <w:p>
      <w:pPr>
        <w:spacing w:line="360" w:lineRule="auto"/>
        <w:ind w:left="18" w:leftChars="8" w:firstLine="321" w:firstLineChars="146"/>
        <w:outlineLvl w:val="2"/>
        <w:rPr>
          <w:szCs w:val="21"/>
        </w:rPr>
      </w:pPr>
      <w:r>
        <w:rPr>
          <w:rFonts w:hint="eastAsia"/>
          <w:szCs w:val="21"/>
        </w:rPr>
        <w:t xml:space="preserve"> 1、评标</w:t>
      </w:r>
    </w:p>
    <w:p>
      <w:pPr>
        <w:spacing w:line="360" w:lineRule="auto"/>
        <w:ind w:left="18" w:leftChars="8" w:firstLine="321" w:firstLineChars="146"/>
        <w:rPr>
          <w:szCs w:val="21"/>
        </w:rPr>
      </w:pPr>
      <w:r>
        <w:rPr>
          <w:rFonts w:hint="eastAsia"/>
          <w:szCs w:val="21"/>
        </w:rPr>
        <w:t>由招标人成立评标小组统一进行开标及评标，选取一家投标单位与</w:t>
      </w:r>
      <w:r>
        <w:rPr>
          <w:rFonts w:hint="eastAsia"/>
          <w:szCs w:val="21"/>
          <w:lang w:eastAsia="zh-CN"/>
        </w:rPr>
        <w:t>招标人签订销售代理合同</w:t>
      </w:r>
      <w:r>
        <w:rPr>
          <w:rFonts w:hint="eastAsia"/>
          <w:szCs w:val="21"/>
        </w:rPr>
        <w:t>。</w:t>
      </w:r>
    </w:p>
    <w:p>
      <w:pPr>
        <w:spacing w:line="360" w:lineRule="auto"/>
        <w:ind w:left="18" w:leftChars="8" w:firstLine="321" w:firstLineChars="146"/>
        <w:outlineLvl w:val="2"/>
        <w:rPr>
          <w:szCs w:val="21"/>
        </w:rPr>
      </w:pPr>
      <w:r>
        <w:rPr>
          <w:rFonts w:hint="eastAsia"/>
          <w:szCs w:val="21"/>
        </w:rPr>
        <w:t>2、评标办法</w:t>
      </w:r>
    </w:p>
    <w:p>
      <w:pPr>
        <w:spacing w:line="360" w:lineRule="auto"/>
        <w:ind w:left="18" w:leftChars="8" w:firstLine="321" w:firstLineChars="146"/>
        <w:rPr>
          <w:szCs w:val="21"/>
        </w:rPr>
      </w:pPr>
      <w:r>
        <w:rPr>
          <w:rFonts w:hint="eastAsia"/>
          <w:szCs w:val="21"/>
        </w:rPr>
        <w:t>（1）由投标</w:t>
      </w:r>
      <w:r>
        <w:rPr>
          <w:rFonts w:hint="eastAsia"/>
          <w:szCs w:val="21"/>
          <w:lang w:val="en-US"/>
        </w:rPr>
        <w:t>单位本案的项目经理</w:t>
      </w:r>
      <w:r>
        <w:rPr>
          <w:rFonts w:hint="eastAsia"/>
          <w:szCs w:val="21"/>
        </w:rPr>
        <w:t>对整盘方案进行讲解，描述项目</w:t>
      </w:r>
      <w:r>
        <w:rPr>
          <w:rFonts w:hint="eastAsia"/>
          <w:szCs w:val="21"/>
          <w:lang w:val="en-US"/>
        </w:rPr>
        <w:t>销售</w:t>
      </w:r>
      <w:r>
        <w:rPr>
          <w:rFonts w:hint="eastAsia"/>
          <w:szCs w:val="21"/>
        </w:rPr>
        <w:t>构思理念、创意、</w:t>
      </w:r>
      <w:r>
        <w:rPr>
          <w:rFonts w:hint="eastAsia"/>
          <w:szCs w:val="21"/>
          <w:lang w:val="en-US"/>
        </w:rPr>
        <w:t>项目建议、</w:t>
      </w:r>
      <w:r>
        <w:rPr>
          <w:rFonts w:hint="eastAsia"/>
          <w:szCs w:val="21"/>
        </w:rPr>
        <w:t>各关键节点时期的销售策略，开盘后</w:t>
      </w:r>
      <w:r>
        <w:rPr>
          <w:rFonts w:hint="eastAsia"/>
          <w:szCs w:val="21"/>
          <w:lang w:val="en-US"/>
        </w:rPr>
        <w:t>推售及</w:t>
      </w:r>
      <w:r>
        <w:rPr>
          <w:rFonts w:hint="eastAsia"/>
          <w:szCs w:val="21"/>
        </w:rPr>
        <w:t>去化节点</w:t>
      </w:r>
      <w:r>
        <w:rPr>
          <w:rFonts w:hint="eastAsia"/>
          <w:szCs w:val="21"/>
          <w:lang w:val="en-US"/>
        </w:rPr>
        <w:t>并对评标小组的提问做解答</w:t>
      </w:r>
      <w:r>
        <w:rPr>
          <w:rFonts w:hint="eastAsia"/>
          <w:szCs w:val="21"/>
        </w:rPr>
        <w:t>。（时间控制在30分钟以内，</w:t>
      </w:r>
      <w:r>
        <w:rPr>
          <w:rFonts w:hint="eastAsia"/>
          <w:szCs w:val="21"/>
          <w:lang w:val="en-US"/>
        </w:rPr>
        <w:t>提问环节为10分钟</w:t>
      </w:r>
      <w:r>
        <w:rPr>
          <w:rFonts w:hint="eastAsia"/>
          <w:szCs w:val="21"/>
        </w:rPr>
        <w:t>）</w:t>
      </w:r>
    </w:p>
    <w:p>
      <w:pPr>
        <w:spacing w:line="360" w:lineRule="auto"/>
        <w:ind w:left="18" w:leftChars="8" w:firstLine="321" w:firstLineChars="146"/>
        <w:rPr>
          <w:szCs w:val="21"/>
          <w:lang w:val="en-US"/>
        </w:rPr>
      </w:pPr>
      <w:r>
        <w:rPr>
          <w:rFonts w:hint="eastAsia"/>
          <w:szCs w:val="21"/>
        </w:rPr>
        <w:t>（</w:t>
      </w:r>
      <w:r>
        <w:rPr>
          <w:rFonts w:hint="eastAsia"/>
          <w:szCs w:val="21"/>
          <w:lang w:val="en-US"/>
        </w:rPr>
        <w:t>2</w:t>
      </w:r>
      <w:r>
        <w:rPr>
          <w:rFonts w:hint="eastAsia"/>
          <w:szCs w:val="21"/>
        </w:rPr>
        <w:t>）</w:t>
      </w:r>
      <w:r>
        <w:rPr>
          <w:rFonts w:hint="eastAsia"/>
          <w:szCs w:val="21"/>
          <w:lang w:val="en-US"/>
        </w:rPr>
        <w:t>所有投标人完</w:t>
      </w:r>
      <w:r>
        <w:rPr>
          <w:rFonts w:hint="eastAsia"/>
          <w:szCs w:val="21"/>
          <w:lang w:val="en-US" w:eastAsia="zh-CN"/>
        </w:rPr>
        <w:t>成</w:t>
      </w:r>
      <w:r>
        <w:rPr>
          <w:rFonts w:hint="eastAsia"/>
          <w:szCs w:val="21"/>
          <w:lang w:val="en-US"/>
        </w:rPr>
        <w:t>提案汇报后，由评标小组开封商务标进行评分。</w:t>
      </w:r>
    </w:p>
    <w:p>
      <w:pPr>
        <w:spacing w:line="360" w:lineRule="auto"/>
        <w:ind w:left="18" w:leftChars="8" w:firstLine="321" w:firstLineChars="146"/>
        <w:rPr>
          <w:szCs w:val="21"/>
        </w:rPr>
      </w:pPr>
      <w:r>
        <w:rPr>
          <w:rFonts w:hint="eastAsia"/>
          <w:szCs w:val="21"/>
        </w:rPr>
        <w:t>（</w:t>
      </w:r>
      <w:r>
        <w:rPr>
          <w:rFonts w:hint="eastAsia"/>
          <w:szCs w:val="21"/>
          <w:lang w:val="en-US"/>
        </w:rPr>
        <w:t>3</w:t>
      </w:r>
      <w:r>
        <w:rPr>
          <w:rFonts w:hint="eastAsia"/>
          <w:szCs w:val="21"/>
        </w:rPr>
        <w:t>）评标主要内容：投标单位资质、业绩；</w:t>
      </w:r>
      <w:r>
        <w:rPr>
          <w:rFonts w:hint="eastAsia"/>
          <w:szCs w:val="21"/>
          <w:lang w:eastAsia="zh-CN"/>
        </w:rPr>
        <w:t>佣金费用</w:t>
      </w:r>
      <w:r>
        <w:rPr>
          <w:rFonts w:hint="eastAsia"/>
          <w:szCs w:val="21"/>
        </w:rPr>
        <w:t>及支付办法；</w:t>
      </w:r>
      <w:r>
        <w:rPr>
          <w:rFonts w:hint="eastAsia"/>
          <w:szCs w:val="21"/>
          <w:lang w:val="en-US" w:eastAsia="zh-CN"/>
        </w:rPr>
        <w:t>销售代理</w:t>
      </w:r>
      <w:r>
        <w:rPr>
          <w:rFonts w:hint="eastAsia"/>
          <w:szCs w:val="21"/>
        </w:rPr>
        <w:t>服务具体内容；项目提案，项目组成员架构体系其操盘经验等。</w:t>
      </w:r>
    </w:p>
    <w:p>
      <w:pPr>
        <w:spacing w:line="360" w:lineRule="auto"/>
        <w:ind w:left="18" w:leftChars="8" w:firstLine="321" w:firstLineChars="146"/>
        <w:rPr>
          <w:szCs w:val="21"/>
        </w:rPr>
      </w:pPr>
      <w:r>
        <w:rPr>
          <w:rFonts w:hint="eastAsia"/>
          <w:szCs w:val="21"/>
        </w:rPr>
        <w:t>（</w:t>
      </w:r>
      <w:r>
        <w:rPr>
          <w:rFonts w:hint="eastAsia"/>
          <w:szCs w:val="21"/>
          <w:lang w:val="en-US"/>
        </w:rPr>
        <w:t>4</w:t>
      </w:r>
      <w:r>
        <w:rPr>
          <w:rFonts w:hint="eastAsia"/>
          <w:szCs w:val="21"/>
        </w:rPr>
        <w:t>）如参与本次投标的各家单位的技术水平、服务质量等其它内容均不能满足招标人的要求，招标人可另行举行招标。</w:t>
      </w:r>
    </w:p>
    <w:p>
      <w:pPr>
        <w:spacing w:line="360" w:lineRule="auto"/>
        <w:outlineLvl w:val="1"/>
        <w:rPr>
          <w:b/>
          <w:bCs/>
          <w:szCs w:val="21"/>
        </w:rPr>
      </w:pPr>
      <w:bookmarkStart w:id="22" w:name="_Toc15983_WPSOffice_Level2"/>
      <w:r>
        <w:rPr>
          <w:rFonts w:hint="eastAsia"/>
          <w:b/>
          <w:bCs/>
          <w:szCs w:val="21"/>
        </w:rPr>
        <w:t>三、中标</w:t>
      </w:r>
      <w:bookmarkEnd w:id="22"/>
    </w:p>
    <w:p>
      <w:pPr>
        <w:tabs>
          <w:tab w:val="left" w:pos="540"/>
          <w:tab w:val="left" w:pos="900"/>
          <w:tab w:val="left" w:pos="3420"/>
        </w:tabs>
        <w:spacing w:line="360" w:lineRule="auto"/>
        <w:ind w:firstLine="420"/>
        <w:rPr>
          <w:szCs w:val="21"/>
        </w:rPr>
      </w:pPr>
      <w:r>
        <w:rPr>
          <w:rFonts w:hint="eastAsia"/>
          <w:szCs w:val="21"/>
        </w:rPr>
        <w:t>1、评标小组根据评标结果，得分最高的一家投标</w:t>
      </w:r>
      <w:r>
        <w:rPr>
          <w:rFonts w:hint="eastAsia"/>
          <w:szCs w:val="21"/>
          <w:lang w:val="en-US"/>
        </w:rPr>
        <w:t>人</w:t>
      </w:r>
      <w:r>
        <w:rPr>
          <w:rFonts w:hint="eastAsia"/>
          <w:szCs w:val="21"/>
        </w:rPr>
        <w:t>为中标</w:t>
      </w:r>
      <w:r>
        <w:rPr>
          <w:rFonts w:hint="eastAsia"/>
          <w:szCs w:val="21"/>
          <w:lang w:val="en-US"/>
        </w:rPr>
        <w:t>候选人</w:t>
      </w:r>
      <w:r>
        <w:rPr>
          <w:rFonts w:hint="eastAsia"/>
          <w:szCs w:val="21"/>
        </w:rPr>
        <w:t>，其余投标</w:t>
      </w:r>
      <w:r>
        <w:rPr>
          <w:rFonts w:hint="eastAsia"/>
          <w:szCs w:val="21"/>
          <w:lang w:val="en-US"/>
        </w:rPr>
        <w:t>人</w:t>
      </w:r>
      <w:r>
        <w:rPr>
          <w:rFonts w:hint="eastAsia"/>
          <w:szCs w:val="21"/>
        </w:rPr>
        <w:t>按分数高低作为合格候选</w:t>
      </w:r>
      <w:r>
        <w:rPr>
          <w:rFonts w:hint="eastAsia"/>
          <w:szCs w:val="21"/>
          <w:lang w:val="en-US"/>
        </w:rPr>
        <w:t>人</w:t>
      </w:r>
      <w:r>
        <w:rPr>
          <w:rFonts w:hint="eastAsia"/>
          <w:szCs w:val="21"/>
        </w:rPr>
        <w:t>。</w:t>
      </w:r>
    </w:p>
    <w:p>
      <w:pPr>
        <w:tabs>
          <w:tab w:val="left" w:pos="540"/>
          <w:tab w:val="left" w:pos="900"/>
          <w:tab w:val="left" w:pos="3420"/>
        </w:tabs>
        <w:spacing w:line="360" w:lineRule="auto"/>
        <w:ind w:firstLine="420"/>
        <w:rPr>
          <w:rFonts w:hint="eastAsia"/>
          <w:szCs w:val="21"/>
        </w:rPr>
      </w:pPr>
      <w:r>
        <w:rPr>
          <w:rFonts w:hint="eastAsia"/>
          <w:szCs w:val="21"/>
          <w:lang w:val="en-US" w:eastAsia="zh-CN"/>
        </w:rPr>
        <w:t>2</w:t>
      </w:r>
      <w:r>
        <w:rPr>
          <w:rFonts w:hint="eastAsia"/>
          <w:szCs w:val="21"/>
        </w:rPr>
        <w:t>、确定中标单位后，招标人向中标单位发出中标通知书，并同时将中标结果通知所有未中标单位，对未中标的投标人，招标人有权不作任何解释。</w:t>
      </w:r>
    </w:p>
    <w:p>
      <w:pPr>
        <w:spacing w:line="360" w:lineRule="auto"/>
        <w:outlineLvl w:val="1"/>
        <w:rPr>
          <w:rFonts w:hint="eastAsia"/>
          <w:b/>
          <w:bCs/>
          <w:szCs w:val="21"/>
          <w:lang w:val="en-US" w:eastAsia="zh-CN"/>
        </w:rPr>
      </w:pPr>
      <w:bookmarkStart w:id="23" w:name="_Toc3978_WPSOffice_Level2"/>
      <w:r>
        <w:rPr>
          <w:rFonts w:hint="eastAsia"/>
          <w:b/>
          <w:bCs/>
          <w:szCs w:val="21"/>
          <w:lang w:val="en-US" w:eastAsia="zh-CN"/>
        </w:rPr>
        <w:t>四、开标评标异常情况处理</w:t>
      </w:r>
    </w:p>
    <w:p>
      <w:pPr>
        <w:tabs>
          <w:tab w:val="left" w:pos="540"/>
          <w:tab w:val="left" w:pos="900"/>
          <w:tab w:val="left" w:pos="3420"/>
        </w:tabs>
        <w:spacing w:line="360" w:lineRule="auto"/>
        <w:ind w:firstLine="440" w:firstLineChars="200"/>
        <w:outlineLvl w:val="1"/>
        <w:rPr>
          <w:rFonts w:hint="eastAsia"/>
          <w:szCs w:val="21"/>
          <w:lang w:val="en-US" w:eastAsia="zh-CN"/>
        </w:rPr>
      </w:pPr>
      <w:r>
        <w:rPr>
          <w:rFonts w:hint="eastAsia"/>
          <w:szCs w:val="21"/>
          <w:lang w:val="en-US" w:eastAsia="zh-CN"/>
        </w:rPr>
        <w:t>投标文件递交截止时间后参加投标人不足三家的，按以下原则处理：</w:t>
      </w:r>
    </w:p>
    <w:p>
      <w:pPr>
        <w:tabs>
          <w:tab w:val="left" w:pos="540"/>
          <w:tab w:val="left" w:pos="900"/>
          <w:tab w:val="left" w:pos="3420"/>
        </w:tabs>
        <w:spacing w:line="360" w:lineRule="auto"/>
        <w:ind w:firstLine="440" w:firstLineChars="200"/>
        <w:outlineLvl w:val="1"/>
        <w:rPr>
          <w:rFonts w:hint="eastAsia"/>
          <w:szCs w:val="21"/>
          <w:lang w:val="en-US" w:eastAsia="zh-CN"/>
        </w:rPr>
      </w:pPr>
      <w:r>
        <w:rPr>
          <w:rFonts w:hint="eastAsia"/>
          <w:szCs w:val="21"/>
          <w:lang w:val="en-US" w:eastAsia="zh-CN"/>
        </w:rPr>
        <w:t>1、招标文件没有不合理条款，符合规定的，采取竞争性谈判、询价或者单一来源方式采购；</w:t>
      </w:r>
    </w:p>
    <w:p>
      <w:pPr>
        <w:tabs>
          <w:tab w:val="left" w:pos="540"/>
          <w:tab w:val="left" w:pos="900"/>
          <w:tab w:val="left" w:pos="3420"/>
        </w:tabs>
        <w:spacing w:line="360" w:lineRule="auto"/>
        <w:ind w:firstLine="440" w:firstLineChars="200"/>
        <w:outlineLvl w:val="1"/>
        <w:rPr>
          <w:rFonts w:hint="eastAsia"/>
          <w:szCs w:val="21"/>
          <w:lang w:val="en-US" w:eastAsia="zh-CN"/>
        </w:rPr>
      </w:pPr>
      <w:r>
        <w:rPr>
          <w:rFonts w:hint="eastAsia"/>
          <w:szCs w:val="21"/>
          <w:lang w:val="en-US" w:eastAsia="zh-CN"/>
        </w:rPr>
        <w:t>2、招标文件存在不合理条款的，招标公告时间及程序不符合规定的，将作废标处理并重新组织招标。</w:t>
      </w:r>
    </w:p>
    <w:p>
      <w:pPr>
        <w:tabs>
          <w:tab w:val="left" w:pos="540"/>
          <w:tab w:val="left" w:pos="900"/>
          <w:tab w:val="left" w:pos="3420"/>
        </w:tabs>
        <w:spacing w:line="360" w:lineRule="auto"/>
        <w:outlineLvl w:val="1"/>
        <w:rPr>
          <w:b/>
          <w:bCs/>
          <w:szCs w:val="21"/>
        </w:rPr>
      </w:pPr>
      <w:r>
        <w:rPr>
          <w:rFonts w:hint="eastAsia"/>
          <w:b/>
          <w:bCs/>
          <w:szCs w:val="21"/>
          <w:lang w:eastAsia="zh-CN"/>
        </w:rPr>
        <w:t>五</w:t>
      </w:r>
      <w:r>
        <w:rPr>
          <w:rFonts w:hint="eastAsia"/>
          <w:b/>
          <w:bCs/>
          <w:szCs w:val="21"/>
        </w:rPr>
        <w:t>、合同</w:t>
      </w:r>
      <w:bookmarkEnd w:id="23"/>
    </w:p>
    <w:p>
      <w:pPr>
        <w:tabs>
          <w:tab w:val="left" w:pos="540"/>
          <w:tab w:val="left" w:pos="900"/>
          <w:tab w:val="left" w:pos="3420"/>
        </w:tabs>
        <w:spacing w:line="360" w:lineRule="auto"/>
        <w:ind w:firstLine="440" w:firstLineChars="200"/>
        <w:rPr>
          <w:szCs w:val="21"/>
        </w:rPr>
      </w:pPr>
      <w:r>
        <w:rPr>
          <w:rFonts w:hint="eastAsia"/>
          <w:szCs w:val="21"/>
        </w:rPr>
        <w:t>中标单位收到中标通知书后，应在</w:t>
      </w:r>
      <w:r>
        <w:rPr>
          <w:rFonts w:hint="eastAsia"/>
          <w:szCs w:val="21"/>
          <w:lang w:val="en-US" w:eastAsia="zh-CN"/>
        </w:rPr>
        <w:t>15</w:t>
      </w:r>
      <w:r>
        <w:rPr>
          <w:rFonts w:hint="eastAsia"/>
          <w:szCs w:val="21"/>
        </w:rPr>
        <w:t>个工作日内与招标人商洽签署合同，合同经双方商洽后签订。</w:t>
      </w:r>
    </w:p>
    <w:p>
      <w:pPr>
        <w:snapToGrid w:val="0"/>
        <w:spacing w:line="440" w:lineRule="exact"/>
        <w:ind w:firstLine="440" w:firstLineChars="200"/>
        <w:rPr>
          <w:sz w:val="21"/>
          <w:szCs w:val="21"/>
          <w:lang w:val="en-US"/>
        </w:rPr>
      </w:pPr>
      <w:r>
        <w:rPr>
          <w:rFonts w:hint="eastAsia"/>
          <w:szCs w:val="21"/>
          <w:lang w:val="en-US"/>
        </w:rPr>
        <w:t>合同中将约定销售进度指标及考核办法细则，约定达不到目标（合同金额、回款金额、去化率等）、违规操作、重大失误的罚则。</w:t>
      </w:r>
    </w:p>
    <w:p/>
    <w:p/>
    <w:p/>
    <w:p/>
    <w:p/>
    <w:p/>
    <w:p/>
    <w:p/>
    <w:p/>
    <w:p/>
    <w:p/>
    <w:p/>
    <w:p/>
    <w:p/>
    <w:p/>
    <w:p/>
    <w:p/>
    <w:p/>
    <w:p/>
    <w:p/>
    <w:p/>
    <w:p/>
    <w:p/>
    <w:p/>
    <w:p>
      <w:pPr>
        <w:tabs>
          <w:tab w:val="left" w:pos="540"/>
          <w:tab w:val="left" w:pos="900"/>
          <w:tab w:val="left" w:pos="3420"/>
        </w:tabs>
        <w:spacing w:line="360" w:lineRule="auto"/>
        <w:outlineLvl w:val="0"/>
        <w:rPr>
          <w:b/>
          <w:sz w:val="32"/>
          <w:szCs w:val="32"/>
        </w:rPr>
      </w:pPr>
      <w:bookmarkStart w:id="24" w:name="_Toc11125_WPSOffice_Level1"/>
      <w:r>
        <w:rPr>
          <w:rFonts w:hint="eastAsia"/>
          <w:b/>
          <w:sz w:val="28"/>
          <w:szCs w:val="28"/>
        </w:rPr>
        <w:t>附件</w:t>
      </w:r>
      <w:bookmarkEnd w:id="24"/>
      <w:r>
        <w:rPr>
          <w:rFonts w:hint="eastAsia"/>
          <w:b/>
          <w:sz w:val="28"/>
          <w:szCs w:val="28"/>
        </w:rPr>
        <w:t>：</w:t>
      </w:r>
    </w:p>
    <w:p>
      <w:pPr>
        <w:tabs>
          <w:tab w:val="left" w:pos="540"/>
          <w:tab w:val="left" w:pos="900"/>
          <w:tab w:val="left" w:pos="3420"/>
        </w:tabs>
        <w:spacing w:line="360" w:lineRule="auto"/>
        <w:jc w:val="center"/>
        <w:outlineLvl w:val="0"/>
        <w:rPr>
          <w:b/>
          <w:sz w:val="32"/>
          <w:szCs w:val="32"/>
        </w:rPr>
      </w:pPr>
      <w:bookmarkStart w:id="25" w:name="_Toc26091_WPSOffice_Level1"/>
      <w:r>
        <w:rPr>
          <w:rFonts w:hint="eastAsia"/>
          <w:b/>
          <w:sz w:val="32"/>
          <w:szCs w:val="32"/>
        </w:rPr>
        <w:t>一、授权委托书</w:t>
      </w:r>
      <w:bookmarkEnd w:id="25"/>
    </w:p>
    <w:p>
      <w:pPr>
        <w:tabs>
          <w:tab w:val="left" w:pos="540"/>
          <w:tab w:val="left" w:pos="900"/>
          <w:tab w:val="left" w:pos="3420"/>
        </w:tabs>
        <w:spacing w:line="360" w:lineRule="auto"/>
        <w:rPr>
          <w:szCs w:val="21"/>
        </w:rPr>
      </w:pPr>
    </w:p>
    <w:p>
      <w:pPr>
        <w:tabs>
          <w:tab w:val="left" w:pos="540"/>
          <w:tab w:val="left" w:pos="900"/>
          <w:tab w:val="left" w:pos="3420"/>
        </w:tabs>
        <w:spacing w:line="360" w:lineRule="auto"/>
        <w:ind w:firstLine="480"/>
        <w:rPr>
          <w:szCs w:val="21"/>
        </w:rPr>
      </w:pPr>
      <w:r>
        <w:rPr>
          <w:rFonts w:hint="eastAsia"/>
          <w:szCs w:val="21"/>
        </w:rPr>
        <w:t>本授权委托书声明：我</w:t>
      </w:r>
      <w:r>
        <w:rPr>
          <w:rFonts w:hint="eastAsia"/>
          <w:szCs w:val="21"/>
          <w:u w:val="single"/>
        </w:rPr>
        <w:t xml:space="preserve">                 </w:t>
      </w:r>
      <w:r>
        <w:rPr>
          <w:rFonts w:hint="eastAsia"/>
          <w:szCs w:val="21"/>
        </w:rPr>
        <w:t>（姓名）系</w:t>
      </w:r>
      <w:r>
        <w:rPr>
          <w:rFonts w:hint="eastAsia"/>
          <w:szCs w:val="21"/>
          <w:u w:val="single"/>
        </w:rPr>
        <w:t xml:space="preserve">                       </w:t>
      </w:r>
      <w:r>
        <w:rPr>
          <w:rFonts w:hint="eastAsia"/>
          <w:szCs w:val="21"/>
        </w:rPr>
        <w:t>（投标单位）的法定代表人，现授权委托</w:t>
      </w:r>
      <w:r>
        <w:rPr>
          <w:rFonts w:hint="eastAsia"/>
          <w:szCs w:val="21"/>
          <w:u w:val="single"/>
        </w:rPr>
        <w:t xml:space="preserve">                                       （</w:t>
      </w:r>
      <w:r>
        <w:rPr>
          <w:rFonts w:hint="eastAsia"/>
          <w:szCs w:val="21"/>
        </w:rPr>
        <w:t>单位名称）</w:t>
      </w:r>
      <w:r>
        <w:rPr>
          <w:rFonts w:hint="eastAsia"/>
          <w:szCs w:val="21"/>
          <w:u w:val="single"/>
        </w:rPr>
        <w:t xml:space="preserve">                </w:t>
      </w:r>
      <w:r>
        <w:rPr>
          <w:rFonts w:hint="eastAsia"/>
          <w:szCs w:val="21"/>
        </w:rPr>
        <w:t>（姓名）为我的授权代理人，以本公司的名义参加</w:t>
      </w:r>
      <w:r>
        <w:rPr>
          <w:rFonts w:hint="eastAsia"/>
          <w:szCs w:val="21"/>
          <w:lang w:val="en-US" w:eastAsia="zh-CN"/>
        </w:rPr>
        <w:t>宣城城建房地产营销策划有限公司</w:t>
      </w:r>
      <w:r>
        <w:rPr>
          <w:rFonts w:hint="eastAsia"/>
          <w:szCs w:val="21"/>
        </w:rPr>
        <w:t>的</w:t>
      </w:r>
      <w:r>
        <w:rPr>
          <w:rFonts w:hint="eastAsia"/>
          <w:szCs w:val="21"/>
          <w:lang w:eastAsia="zh-CN"/>
        </w:rPr>
        <w:t>销售代理服务</w:t>
      </w:r>
      <w:r>
        <w:rPr>
          <w:rFonts w:hint="eastAsia"/>
          <w:szCs w:val="21"/>
        </w:rPr>
        <w:t>投标，授权委托人所签署的一切文件和处理与有关的一切事务，我均予以承认。</w:t>
      </w:r>
    </w:p>
    <w:p>
      <w:pPr>
        <w:tabs>
          <w:tab w:val="left" w:pos="540"/>
          <w:tab w:val="left" w:pos="900"/>
          <w:tab w:val="left" w:pos="3420"/>
        </w:tabs>
        <w:spacing w:line="360" w:lineRule="auto"/>
        <w:ind w:firstLine="480"/>
        <w:rPr>
          <w:szCs w:val="21"/>
        </w:rPr>
      </w:pPr>
    </w:p>
    <w:p>
      <w:pPr>
        <w:tabs>
          <w:tab w:val="left" w:pos="540"/>
          <w:tab w:val="left" w:pos="900"/>
          <w:tab w:val="left" w:pos="3420"/>
        </w:tabs>
        <w:spacing w:line="360" w:lineRule="auto"/>
        <w:ind w:firstLine="480"/>
        <w:rPr>
          <w:szCs w:val="21"/>
        </w:rPr>
      </w:pPr>
    </w:p>
    <w:p>
      <w:pPr>
        <w:tabs>
          <w:tab w:val="left" w:pos="540"/>
          <w:tab w:val="left" w:pos="900"/>
          <w:tab w:val="left" w:pos="3420"/>
        </w:tabs>
        <w:spacing w:line="360" w:lineRule="auto"/>
        <w:ind w:firstLine="480"/>
        <w:rPr>
          <w:szCs w:val="21"/>
        </w:rPr>
      </w:pPr>
    </w:p>
    <w:p>
      <w:pPr>
        <w:tabs>
          <w:tab w:val="left" w:pos="540"/>
          <w:tab w:val="left" w:pos="900"/>
          <w:tab w:val="left" w:pos="3420"/>
        </w:tabs>
        <w:spacing w:line="360" w:lineRule="auto"/>
        <w:ind w:firstLine="480"/>
        <w:jc w:val="right"/>
        <w:rPr>
          <w:szCs w:val="21"/>
          <w:u w:val="single"/>
        </w:rPr>
      </w:pPr>
      <w:r>
        <w:rPr>
          <w:rFonts w:hint="eastAsia"/>
          <w:szCs w:val="21"/>
        </w:rPr>
        <w:t>授权委托人无转委托权、特此委托。</w:t>
      </w:r>
    </w:p>
    <w:p>
      <w:pPr>
        <w:spacing w:line="360" w:lineRule="auto"/>
        <w:rPr>
          <w:szCs w:val="21"/>
        </w:rPr>
      </w:pPr>
    </w:p>
    <w:p>
      <w:pPr>
        <w:spacing w:line="360" w:lineRule="auto"/>
        <w:rPr>
          <w:szCs w:val="21"/>
        </w:rPr>
      </w:pPr>
    </w:p>
    <w:p>
      <w:pPr>
        <w:spacing w:line="360" w:lineRule="auto"/>
        <w:rPr>
          <w:szCs w:val="21"/>
        </w:rPr>
      </w:pPr>
    </w:p>
    <w:p>
      <w:pPr>
        <w:spacing w:line="360" w:lineRule="auto"/>
        <w:rPr>
          <w:szCs w:val="21"/>
        </w:rPr>
      </w:pPr>
    </w:p>
    <w:p>
      <w:pPr>
        <w:spacing w:line="360" w:lineRule="auto"/>
        <w:rPr>
          <w:szCs w:val="21"/>
        </w:rPr>
      </w:pPr>
    </w:p>
    <w:p>
      <w:pPr>
        <w:spacing w:line="360" w:lineRule="auto"/>
        <w:rPr>
          <w:szCs w:val="21"/>
          <w:u w:val="single"/>
        </w:rPr>
      </w:pPr>
      <w:r>
        <w:rPr>
          <w:rFonts w:hint="eastAsia"/>
          <w:szCs w:val="21"/>
        </w:rPr>
        <w:t>授权委托人：</w:t>
      </w:r>
      <w:r>
        <w:rPr>
          <w:rFonts w:hint="eastAsia"/>
          <w:szCs w:val="21"/>
          <w:u w:val="single"/>
        </w:rPr>
        <w:t xml:space="preserve">                      </w:t>
      </w:r>
      <w:r>
        <w:rPr>
          <w:rFonts w:hint="eastAsia"/>
          <w:szCs w:val="21"/>
        </w:rPr>
        <w:t>性别：</w:t>
      </w:r>
      <w:r>
        <w:rPr>
          <w:rFonts w:hint="eastAsia"/>
          <w:szCs w:val="21"/>
          <w:u w:val="single"/>
        </w:rPr>
        <w:t xml:space="preserve">              </w:t>
      </w:r>
      <w:r>
        <w:rPr>
          <w:rFonts w:hint="eastAsia"/>
          <w:szCs w:val="21"/>
        </w:rPr>
        <w:t>年龄：</w:t>
      </w:r>
      <w:r>
        <w:rPr>
          <w:rFonts w:hint="eastAsia"/>
          <w:szCs w:val="21"/>
          <w:u w:val="single"/>
        </w:rPr>
        <w:t xml:space="preserve">               </w:t>
      </w:r>
    </w:p>
    <w:p>
      <w:pPr>
        <w:spacing w:line="360" w:lineRule="auto"/>
        <w:rPr>
          <w:szCs w:val="21"/>
          <w:u w:val="single"/>
        </w:rPr>
      </w:pPr>
      <w:r>
        <w:rPr>
          <w:rFonts w:hint="eastAsia"/>
          <w:szCs w:val="21"/>
        </w:rPr>
        <w:t>单      位：</w:t>
      </w:r>
      <w:r>
        <w:rPr>
          <w:rFonts w:hint="eastAsia"/>
          <w:szCs w:val="21"/>
          <w:u w:val="single"/>
        </w:rPr>
        <w:t xml:space="preserve">                      </w:t>
      </w:r>
      <w:r>
        <w:rPr>
          <w:rFonts w:hint="eastAsia"/>
          <w:szCs w:val="21"/>
        </w:rPr>
        <w:t>部门：</w:t>
      </w:r>
      <w:r>
        <w:rPr>
          <w:rFonts w:hint="eastAsia"/>
          <w:szCs w:val="21"/>
          <w:u w:val="single"/>
        </w:rPr>
        <w:t xml:space="preserve">              </w:t>
      </w:r>
      <w:r>
        <w:rPr>
          <w:rFonts w:hint="eastAsia"/>
          <w:szCs w:val="21"/>
        </w:rPr>
        <w:t>职务：</w:t>
      </w:r>
      <w:r>
        <w:rPr>
          <w:rFonts w:hint="eastAsia"/>
          <w:szCs w:val="21"/>
          <w:u w:val="single"/>
        </w:rPr>
        <w:t xml:space="preserve">               </w:t>
      </w:r>
    </w:p>
    <w:p>
      <w:pPr>
        <w:spacing w:line="360" w:lineRule="auto"/>
        <w:rPr>
          <w:szCs w:val="21"/>
          <w:u w:val="single"/>
        </w:rPr>
      </w:pPr>
      <w:r>
        <w:rPr>
          <w:rFonts w:hint="eastAsia"/>
          <w:szCs w:val="21"/>
        </w:rPr>
        <w:t>投标单位：（盖</w:t>
      </w:r>
      <w:r>
        <w:rPr>
          <w:rFonts w:hint="eastAsia"/>
          <w:szCs w:val="21"/>
          <w:lang w:val="en-US"/>
        </w:rPr>
        <w:t>公</w:t>
      </w:r>
      <w:r>
        <w:rPr>
          <w:rFonts w:hint="eastAsia"/>
          <w:szCs w:val="21"/>
        </w:rPr>
        <w:t>章）</w:t>
      </w:r>
      <w:r>
        <w:rPr>
          <w:rFonts w:hint="eastAsia"/>
          <w:szCs w:val="21"/>
          <w:u w:val="single"/>
        </w:rPr>
        <w:t xml:space="preserve">                                </w:t>
      </w:r>
    </w:p>
    <w:p>
      <w:pPr>
        <w:spacing w:line="360" w:lineRule="auto"/>
        <w:rPr>
          <w:szCs w:val="21"/>
          <w:u w:val="single"/>
        </w:rPr>
      </w:pPr>
      <w:r>
        <w:rPr>
          <w:rFonts w:hint="eastAsia"/>
          <w:szCs w:val="21"/>
        </w:rPr>
        <w:t>法定代表</w:t>
      </w:r>
      <w:r>
        <w:rPr>
          <w:rFonts w:hint="eastAsia"/>
          <w:szCs w:val="21"/>
          <w:lang w:val="en-US"/>
        </w:rPr>
        <w:t>人</w:t>
      </w:r>
      <w:r>
        <w:rPr>
          <w:rFonts w:hint="eastAsia"/>
          <w:szCs w:val="21"/>
        </w:rPr>
        <w:t>：（盖法人章）</w:t>
      </w:r>
      <w:r>
        <w:rPr>
          <w:rFonts w:hint="eastAsia"/>
          <w:szCs w:val="21"/>
          <w:u w:val="single"/>
        </w:rPr>
        <w:t xml:space="preserve">                                </w:t>
      </w:r>
    </w:p>
    <w:p>
      <w:pPr>
        <w:spacing w:line="360" w:lineRule="auto"/>
        <w:rPr>
          <w:szCs w:val="21"/>
          <w:u w:val="single"/>
        </w:rPr>
      </w:pPr>
    </w:p>
    <w:p>
      <w:pPr>
        <w:spacing w:line="360" w:lineRule="auto"/>
        <w:rPr>
          <w:szCs w:val="21"/>
          <w:u w:val="single"/>
        </w:rPr>
      </w:pPr>
    </w:p>
    <w:p>
      <w:pPr>
        <w:spacing w:line="360" w:lineRule="auto"/>
        <w:jc w:val="right"/>
        <w:rPr>
          <w:szCs w:val="21"/>
        </w:rPr>
      </w:pPr>
      <w:r>
        <w:rPr>
          <w:rFonts w:hint="eastAsia"/>
          <w:szCs w:val="21"/>
        </w:rPr>
        <w:t>日期：             年       月        日</w:t>
      </w:r>
    </w:p>
    <w:p/>
    <w:p/>
    <w:p/>
    <w:p/>
    <w:p/>
    <w:p/>
    <w:p/>
    <w:p>
      <w:pPr>
        <w:tabs>
          <w:tab w:val="left" w:pos="540"/>
          <w:tab w:val="left" w:pos="900"/>
          <w:tab w:val="left" w:pos="3420"/>
        </w:tabs>
        <w:spacing w:line="360" w:lineRule="auto"/>
        <w:jc w:val="center"/>
        <w:outlineLvl w:val="0"/>
        <w:rPr>
          <w:b/>
          <w:sz w:val="44"/>
          <w:szCs w:val="44"/>
        </w:rPr>
      </w:pPr>
      <w:bookmarkStart w:id="26" w:name="_Toc6170_WPSOffice_Level1"/>
      <w:r>
        <w:rPr>
          <w:rFonts w:hint="eastAsia"/>
          <w:b/>
          <w:sz w:val="32"/>
          <w:szCs w:val="32"/>
        </w:rPr>
        <w:t>二、投标函</w:t>
      </w:r>
      <w:bookmarkEnd w:id="26"/>
    </w:p>
    <w:p>
      <w:pPr>
        <w:spacing w:line="360" w:lineRule="auto"/>
        <w:ind w:firstLine="440" w:firstLineChars="199"/>
        <w:rPr>
          <w:b/>
          <w:szCs w:val="21"/>
        </w:rPr>
      </w:pPr>
    </w:p>
    <w:p>
      <w:pPr>
        <w:spacing w:line="360" w:lineRule="auto"/>
        <w:ind w:firstLine="440" w:firstLineChars="199"/>
        <w:outlineLvl w:val="1"/>
        <w:rPr>
          <w:rFonts w:hint="eastAsia" w:eastAsia="宋体"/>
          <w:b/>
          <w:szCs w:val="21"/>
          <w:lang w:val="en-US" w:eastAsia="zh-CN"/>
        </w:rPr>
      </w:pPr>
      <w:bookmarkStart w:id="27" w:name="_Toc30795_WPSOffice_Level2"/>
      <w:r>
        <w:rPr>
          <w:rFonts w:hint="eastAsia"/>
          <w:b/>
          <w:szCs w:val="21"/>
        </w:rPr>
        <w:t>招标人：</w:t>
      </w:r>
      <w:bookmarkEnd w:id="27"/>
      <w:r>
        <w:rPr>
          <w:rFonts w:hint="eastAsia"/>
          <w:b/>
          <w:szCs w:val="21"/>
          <w:lang w:val="en-US" w:eastAsia="zh-CN"/>
        </w:rPr>
        <w:t>宣城城建房地产营销策划有限公司</w:t>
      </w:r>
    </w:p>
    <w:p>
      <w:pPr>
        <w:spacing w:line="360" w:lineRule="auto"/>
        <w:ind w:left="440" w:leftChars="200" w:firstLine="440" w:firstLineChars="200"/>
        <w:rPr>
          <w:szCs w:val="21"/>
        </w:rPr>
      </w:pPr>
      <w:r>
        <w:rPr>
          <w:rFonts w:hint="eastAsia"/>
          <w:szCs w:val="21"/>
        </w:rPr>
        <w:t>我方已收到贵公司发出的投标邀请函，经全面考虑和现场勘察，现决定参加贵司的</w:t>
      </w:r>
      <w:r>
        <w:rPr>
          <w:rFonts w:hint="eastAsia"/>
          <w:szCs w:val="21"/>
          <w:lang w:eastAsia="zh-CN"/>
        </w:rPr>
        <w:t>销售代理服务</w:t>
      </w:r>
      <w:r>
        <w:rPr>
          <w:rFonts w:hint="eastAsia"/>
          <w:szCs w:val="21"/>
        </w:rPr>
        <w:t>投标，并做出如下承诺：</w:t>
      </w:r>
    </w:p>
    <w:p>
      <w:pPr>
        <w:spacing w:line="360" w:lineRule="auto"/>
        <w:ind w:firstLine="420"/>
        <w:rPr>
          <w:szCs w:val="21"/>
        </w:rPr>
      </w:pPr>
      <w:r>
        <w:rPr>
          <w:rFonts w:hint="eastAsia"/>
          <w:szCs w:val="21"/>
        </w:rPr>
        <w:t>1、我方将遵照贵司招标文件的要求，递交投标资料。</w:t>
      </w:r>
    </w:p>
    <w:p>
      <w:pPr>
        <w:spacing w:line="360" w:lineRule="auto"/>
        <w:ind w:firstLine="420"/>
        <w:rPr>
          <w:szCs w:val="21"/>
        </w:rPr>
      </w:pPr>
      <w:r>
        <w:rPr>
          <w:rFonts w:hint="eastAsia"/>
          <w:szCs w:val="21"/>
        </w:rPr>
        <w:t>2、我方提交投标文件正本一份、副本两份。</w:t>
      </w:r>
    </w:p>
    <w:p>
      <w:pPr>
        <w:spacing w:line="360" w:lineRule="auto"/>
        <w:ind w:left="770" w:leftChars="200" w:hanging="330" w:hangingChars="150"/>
        <w:rPr>
          <w:szCs w:val="21"/>
        </w:rPr>
      </w:pPr>
      <w:r>
        <w:rPr>
          <w:rFonts w:hint="eastAsia"/>
          <w:szCs w:val="21"/>
        </w:rPr>
        <w:t>3、在投标期限内，贵司的招标文件及我方递交的投标文件始终对我方具有约束力，并可随时被接受。</w:t>
      </w:r>
    </w:p>
    <w:p>
      <w:pPr>
        <w:spacing w:line="360" w:lineRule="auto"/>
        <w:ind w:firstLine="420"/>
        <w:rPr>
          <w:szCs w:val="21"/>
        </w:rPr>
      </w:pPr>
      <w:r>
        <w:rPr>
          <w:rFonts w:hint="eastAsia"/>
          <w:szCs w:val="21"/>
        </w:rPr>
        <w:t>4、我方愿意履行自己在投标文件中的全部承诺和责任。</w:t>
      </w:r>
    </w:p>
    <w:p>
      <w:pPr>
        <w:spacing w:line="360" w:lineRule="auto"/>
        <w:ind w:left="770" w:leftChars="200" w:hanging="330" w:hangingChars="150"/>
        <w:rPr>
          <w:szCs w:val="21"/>
        </w:rPr>
      </w:pPr>
      <w:r>
        <w:rPr>
          <w:rFonts w:hint="eastAsia"/>
          <w:szCs w:val="21"/>
        </w:rPr>
        <w:t>5、我方愿意按中标通知书和招标文件的要求及时签订</w:t>
      </w:r>
      <w:r>
        <w:rPr>
          <w:rFonts w:hint="eastAsia"/>
          <w:szCs w:val="21"/>
          <w:lang w:eastAsia="zh-CN"/>
        </w:rPr>
        <w:t>销售代理服务</w:t>
      </w:r>
      <w:r>
        <w:rPr>
          <w:rFonts w:hint="eastAsia"/>
          <w:szCs w:val="21"/>
        </w:rPr>
        <w:t>合同。</w:t>
      </w:r>
    </w:p>
    <w:p>
      <w:pPr>
        <w:spacing w:line="360" w:lineRule="auto"/>
        <w:ind w:left="770" w:leftChars="200" w:hanging="330" w:hangingChars="150"/>
        <w:rPr>
          <w:szCs w:val="21"/>
        </w:rPr>
      </w:pPr>
      <w:r>
        <w:rPr>
          <w:rFonts w:hint="eastAsia"/>
          <w:szCs w:val="21"/>
        </w:rPr>
        <w:t>6、我方同意承担为此投标所发生的一切费用。</w:t>
      </w:r>
    </w:p>
    <w:p>
      <w:pPr>
        <w:spacing w:line="360" w:lineRule="auto"/>
        <w:ind w:left="770" w:leftChars="200" w:hanging="330" w:hangingChars="150"/>
        <w:rPr>
          <w:szCs w:val="21"/>
        </w:rPr>
      </w:pPr>
      <w:r>
        <w:rPr>
          <w:rFonts w:hint="eastAsia"/>
          <w:szCs w:val="21"/>
        </w:rPr>
        <w:t>7、如果我方中标，将派出</w:t>
      </w:r>
      <w:r>
        <w:rPr>
          <w:rFonts w:hint="eastAsia"/>
          <w:szCs w:val="21"/>
          <w:u w:val="single"/>
        </w:rPr>
        <w:t xml:space="preserve">             </w:t>
      </w:r>
      <w:r>
        <w:rPr>
          <w:rFonts w:hint="eastAsia"/>
          <w:szCs w:val="21"/>
        </w:rPr>
        <w:t>（项目经理）为本项目的负责人，未经招标人同意，我方不会更换项目经理。</w:t>
      </w:r>
    </w:p>
    <w:p>
      <w:pPr>
        <w:spacing w:line="360" w:lineRule="auto"/>
        <w:ind w:left="360"/>
        <w:outlineLvl w:val="1"/>
        <w:rPr>
          <w:b/>
          <w:szCs w:val="21"/>
        </w:rPr>
      </w:pPr>
      <w:bookmarkStart w:id="28" w:name="_Toc24872_WPSOffice_Level2"/>
      <w:r>
        <w:rPr>
          <w:rFonts w:hint="eastAsia"/>
          <w:b/>
          <w:szCs w:val="21"/>
        </w:rPr>
        <w:t>投标人：                                （章）</w:t>
      </w:r>
      <w:bookmarkEnd w:id="28"/>
    </w:p>
    <w:p>
      <w:pPr>
        <w:spacing w:line="360" w:lineRule="auto"/>
        <w:ind w:left="357"/>
        <w:outlineLvl w:val="1"/>
        <w:rPr>
          <w:b/>
          <w:szCs w:val="21"/>
        </w:rPr>
      </w:pPr>
      <w:bookmarkStart w:id="29" w:name="_Toc302_WPSOffice_Level2"/>
      <w:r>
        <w:rPr>
          <w:rFonts w:hint="eastAsia"/>
          <w:b/>
          <w:szCs w:val="21"/>
        </w:rPr>
        <w:t>单位地址：</w:t>
      </w:r>
      <w:bookmarkEnd w:id="29"/>
    </w:p>
    <w:p>
      <w:pPr>
        <w:spacing w:line="360" w:lineRule="auto"/>
        <w:ind w:left="357"/>
        <w:outlineLvl w:val="1"/>
        <w:rPr>
          <w:b/>
          <w:szCs w:val="21"/>
        </w:rPr>
      </w:pPr>
      <w:bookmarkStart w:id="30" w:name="_Toc27765_WPSOffice_Level2"/>
      <w:r>
        <w:rPr>
          <w:rFonts w:hint="eastAsia"/>
          <w:b/>
          <w:szCs w:val="21"/>
        </w:rPr>
        <w:t>法定代表人或委托代理人：                （签字、印章）</w:t>
      </w:r>
      <w:bookmarkEnd w:id="30"/>
    </w:p>
    <w:p>
      <w:pPr>
        <w:spacing w:line="360" w:lineRule="auto"/>
        <w:ind w:left="357"/>
        <w:outlineLvl w:val="1"/>
        <w:rPr>
          <w:b/>
          <w:szCs w:val="21"/>
        </w:rPr>
      </w:pPr>
      <w:bookmarkStart w:id="31" w:name="_Toc9941_WPSOffice_Level2"/>
      <w:r>
        <w:rPr>
          <w:rFonts w:hint="eastAsia"/>
          <w:b/>
          <w:szCs w:val="21"/>
        </w:rPr>
        <w:t>电话：</w:t>
      </w:r>
      <w:bookmarkEnd w:id="31"/>
    </w:p>
    <w:p>
      <w:pPr>
        <w:spacing w:line="360" w:lineRule="auto"/>
        <w:ind w:left="357"/>
        <w:outlineLvl w:val="1"/>
        <w:rPr>
          <w:b/>
          <w:szCs w:val="21"/>
        </w:rPr>
      </w:pPr>
      <w:bookmarkStart w:id="32" w:name="_Toc19159_WPSOffice_Level2"/>
      <w:r>
        <w:rPr>
          <w:rFonts w:hint="eastAsia"/>
          <w:b/>
          <w:szCs w:val="21"/>
        </w:rPr>
        <w:t>传真：</w:t>
      </w:r>
      <w:bookmarkEnd w:id="32"/>
    </w:p>
    <w:p>
      <w:pPr>
        <w:spacing w:line="360" w:lineRule="auto"/>
        <w:ind w:firstLine="5329" w:firstLineChars="2413"/>
        <w:outlineLvl w:val="1"/>
        <w:rPr>
          <w:szCs w:val="21"/>
        </w:rPr>
      </w:pPr>
      <w:bookmarkStart w:id="33" w:name="_Toc7855_WPSOffice_Level2"/>
      <w:r>
        <w:rPr>
          <w:rFonts w:hint="eastAsia"/>
          <w:b/>
          <w:szCs w:val="21"/>
        </w:rPr>
        <w:t>日期：      年    月   日</w:t>
      </w:r>
      <w:bookmarkEnd w:id="33"/>
    </w:p>
    <w:p>
      <w:pPr>
        <w:tabs>
          <w:tab w:val="left" w:pos="540"/>
          <w:tab w:val="left" w:pos="900"/>
          <w:tab w:val="left" w:pos="3420"/>
        </w:tabs>
        <w:spacing w:line="360" w:lineRule="auto"/>
        <w:rPr>
          <w:b/>
          <w:szCs w:val="21"/>
        </w:rPr>
      </w:pPr>
    </w:p>
    <w:p/>
    <w:p>
      <w:pPr>
        <w:rPr>
          <w:rFonts w:hint="eastAsia"/>
        </w:rPr>
      </w:pPr>
    </w:p>
    <w:p>
      <w:pPr>
        <w:rPr>
          <w:rFonts w:hint="eastAsia"/>
        </w:rPr>
      </w:pPr>
    </w:p>
    <w:p>
      <w:pPr>
        <w:rPr>
          <w:rFonts w:hint="eastAsia"/>
        </w:rPr>
      </w:pPr>
    </w:p>
    <w:p/>
    <w:p/>
    <w:p/>
    <w:p/>
    <w:p/>
    <w:p/>
    <w:p/>
    <w:p/>
    <w:p>
      <w:pPr>
        <w:tabs>
          <w:tab w:val="left" w:pos="540"/>
          <w:tab w:val="left" w:pos="900"/>
          <w:tab w:val="left" w:pos="3420"/>
        </w:tabs>
        <w:spacing w:line="360" w:lineRule="auto"/>
        <w:jc w:val="center"/>
        <w:outlineLvl w:val="0"/>
        <w:rPr>
          <w:b/>
          <w:sz w:val="32"/>
          <w:szCs w:val="32"/>
        </w:rPr>
      </w:pPr>
      <w:bookmarkStart w:id="34" w:name="_Toc5373_WPSOffice_Level1"/>
      <w:r>
        <w:rPr>
          <w:rFonts w:hint="eastAsia"/>
          <w:b/>
          <w:sz w:val="32"/>
          <w:szCs w:val="32"/>
        </w:rPr>
        <w:t>三、销售代理费</w:t>
      </w:r>
      <w:bookmarkEnd w:id="34"/>
      <w:r>
        <w:rPr>
          <w:rFonts w:hint="eastAsia"/>
          <w:b/>
          <w:sz w:val="32"/>
          <w:szCs w:val="32"/>
        </w:rPr>
        <w:t>报价</w:t>
      </w:r>
    </w:p>
    <w:p>
      <w:pPr>
        <w:spacing w:line="360" w:lineRule="auto"/>
        <w:ind w:firstLine="440" w:firstLineChars="200"/>
        <w:jc w:val="center"/>
        <w:rPr>
          <w:szCs w:val="21"/>
        </w:rPr>
      </w:pPr>
    </w:p>
    <w:p>
      <w:pPr>
        <w:spacing w:line="360" w:lineRule="auto"/>
        <w:outlineLvl w:val="1"/>
        <w:rPr>
          <w:rFonts w:hint="eastAsia" w:eastAsia="宋体"/>
          <w:b/>
          <w:szCs w:val="21"/>
          <w:lang w:val="en-US" w:eastAsia="zh-CN"/>
        </w:rPr>
      </w:pPr>
      <w:bookmarkStart w:id="35" w:name="_Toc2109_WPSOffice_Level2"/>
      <w:r>
        <w:rPr>
          <w:rFonts w:hint="eastAsia"/>
          <w:b/>
          <w:szCs w:val="21"/>
        </w:rPr>
        <w:t>招标人：</w:t>
      </w:r>
      <w:bookmarkEnd w:id="35"/>
      <w:r>
        <w:rPr>
          <w:rFonts w:hint="eastAsia"/>
          <w:b/>
          <w:szCs w:val="21"/>
          <w:lang w:val="en-US" w:eastAsia="zh-CN"/>
        </w:rPr>
        <w:t>宣城城建房地产营销策划有限公司</w:t>
      </w:r>
    </w:p>
    <w:p>
      <w:pPr>
        <w:spacing w:line="360" w:lineRule="auto"/>
        <w:ind w:firstLine="440" w:firstLineChars="200"/>
        <w:rPr>
          <w:szCs w:val="21"/>
        </w:rPr>
      </w:pPr>
      <w:r>
        <w:rPr>
          <w:rFonts w:hint="eastAsia"/>
          <w:szCs w:val="21"/>
        </w:rPr>
        <w:t>经我司慎重研究，郑重承诺：在贵司项目的销售代理投标活动中，如果我司中标，按以下标准计费：</w:t>
      </w:r>
    </w:p>
    <w:p>
      <w:pPr>
        <w:spacing w:line="360" w:lineRule="auto"/>
        <w:ind w:firstLine="440" w:firstLineChars="200"/>
        <w:rPr>
          <w:szCs w:val="21"/>
          <w:lang w:val="en-US"/>
        </w:rPr>
      </w:pPr>
      <w:r>
        <w:rPr>
          <w:rFonts w:hint="eastAsia"/>
          <w:szCs w:val="21"/>
          <w:lang w:val="en-US" w:eastAsia="zh-CN"/>
        </w:rPr>
        <w:t>销售代理服务</w:t>
      </w:r>
      <w:r>
        <w:rPr>
          <w:rFonts w:hint="eastAsia"/>
          <w:szCs w:val="21"/>
          <w:lang w:val="en-US"/>
        </w:rPr>
        <w:t>佣金占完成销售金额的</w:t>
      </w:r>
      <w:r>
        <w:rPr>
          <w:rFonts w:hint="eastAsia"/>
          <w:szCs w:val="21"/>
          <w:u w:val="single"/>
          <w:lang w:val="en-US"/>
        </w:rPr>
        <w:t xml:space="preserve">   </w:t>
      </w:r>
      <w:r>
        <w:rPr>
          <w:rFonts w:hint="eastAsia"/>
          <w:szCs w:val="21"/>
          <w:lang w:val="en-US"/>
        </w:rPr>
        <w:t>%计费。</w:t>
      </w:r>
    </w:p>
    <w:p>
      <w:pPr>
        <w:spacing w:line="360" w:lineRule="auto"/>
        <w:ind w:firstLine="440" w:firstLineChars="200"/>
        <w:rPr>
          <w:szCs w:val="21"/>
          <w:u w:val="single"/>
        </w:rPr>
      </w:pPr>
      <w:r>
        <w:rPr>
          <w:rFonts w:hint="eastAsia"/>
          <w:szCs w:val="21"/>
        </w:rPr>
        <w:t>投标人承诺事项：</w:t>
      </w:r>
    </w:p>
    <w:p>
      <w:pPr>
        <w:spacing w:line="360" w:lineRule="auto"/>
        <w:ind w:firstLine="440" w:firstLineChars="200"/>
        <w:rPr>
          <w:szCs w:val="21"/>
          <w:u w:val="single"/>
        </w:rPr>
      </w:pPr>
    </w:p>
    <w:p>
      <w:pPr>
        <w:spacing w:line="360" w:lineRule="auto"/>
        <w:ind w:firstLine="480"/>
        <w:rPr>
          <w:szCs w:val="21"/>
        </w:rPr>
      </w:pPr>
    </w:p>
    <w:p>
      <w:pPr>
        <w:wordWrap w:val="0"/>
        <w:spacing w:line="360" w:lineRule="auto"/>
        <w:ind w:right="360"/>
        <w:rPr>
          <w:szCs w:val="21"/>
        </w:rPr>
      </w:pPr>
      <w:r>
        <w:rPr>
          <w:rFonts w:hint="eastAsia"/>
          <w:szCs w:val="21"/>
        </w:rPr>
        <w:t xml:space="preserve">                                    </w:t>
      </w:r>
    </w:p>
    <w:p>
      <w:pPr>
        <w:wordWrap w:val="0"/>
        <w:spacing w:line="360" w:lineRule="auto"/>
        <w:ind w:right="360"/>
        <w:rPr>
          <w:szCs w:val="21"/>
        </w:rPr>
      </w:pPr>
    </w:p>
    <w:p>
      <w:pPr>
        <w:wordWrap w:val="0"/>
        <w:spacing w:line="360" w:lineRule="auto"/>
        <w:ind w:right="360"/>
        <w:rPr>
          <w:szCs w:val="21"/>
        </w:rPr>
      </w:pPr>
    </w:p>
    <w:p>
      <w:pPr>
        <w:wordWrap w:val="0"/>
        <w:spacing w:line="360" w:lineRule="auto"/>
        <w:ind w:right="360"/>
        <w:rPr>
          <w:szCs w:val="21"/>
        </w:rPr>
      </w:pPr>
    </w:p>
    <w:p>
      <w:pPr>
        <w:wordWrap w:val="0"/>
        <w:spacing w:line="360" w:lineRule="auto"/>
        <w:ind w:right="360"/>
        <w:rPr>
          <w:szCs w:val="21"/>
        </w:rPr>
      </w:pPr>
    </w:p>
    <w:p>
      <w:pPr>
        <w:wordWrap w:val="0"/>
        <w:spacing w:line="360" w:lineRule="auto"/>
        <w:ind w:right="360"/>
        <w:rPr>
          <w:szCs w:val="21"/>
        </w:rPr>
      </w:pPr>
    </w:p>
    <w:p>
      <w:pPr>
        <w:wordWrap w:val="0"/>
        <w:spacing w:line="360" w:lineRule="auto"/>
        <w:ind w:right="360"/>
        <w:rPr>
          <w:szCs w:val="21"/>
        </w:rPr>
      </w:pPr>
    </w:p>
    <w:p>
      <w:pPr>
        <w:wordWrap w:val="0"/>
        <w:spacing w:line="360" w:lineRule="auto"/>
        <w:ind w:right="360" w:firstLine="4180" w:firstLineChars="1900"/>
        <w:jc w:val="both"/>
        <w:rPr>
          <w:szCs w:val="21"/>
          <w:u w:val="single"/>
        </w:rPr>
      </w:pPr>
      <w:r>
        <w:rPr>
          <w:rFonts w:hint="eastAsia"/>
          <w:szCs w:val="21"/>
        </w:rPr>
        <w:t>投标单位：</w:t>
      </w:r>
    </w:p>
    <w:p>
      <w:pPr>
        <w:spacing w:line="360" w:lineRule="auto"/>
        <w:ind w:right="480" w:firstLine="480"/>
        <w:jc w:val="right"/>
        <w:outlineLvl w:val="1"/>
        <w:rPr>
          <w:szCs w:val="21"/>
        </w:rPr>
      </w:pPr>
      <w:r>
        <w:rPr>
          <w:rFonts w:hint="eastAsia"/>
          <w:szCs w:val="21"/>
        </w:rPr>
        <w:t xml:space="preserve">                        </w:t>
      </w:r>
    </w:p>
    <w:p>
      <w:pPr>
        <w:spacing w:line="360" w:lineRule="auto"/>
        <w:ind w:right="480" w:firstLine="480"/>
        <w:jc w:val="right"/>
        <w:outlineLvl w:val="1"/>
        <w:rPr>
          <w:szCs w:val="21"/>
        </w:rPr>
      </w:pPr>
      <w:r>
        <w:rPr>
          <w:rFonts w:hint="eastAsia"/>
          <w:szCs w:val="21"/>
        </w:rPr>
        <w:t xml:space="preserve">  </w:t>
      </w:r>
      <w:bookmarkStart w:id="36" w:name="_Toc26862_WPSOffice_Level2"/>
      <w:r>
        <w:rPr>
          <w:rFonts w:hint="eastAsia"/>
          <w:szCs w:val="21"/>
        </w:rPr>
        <w:t>时间：      年       月      日</w:t>
      </w:r>
      <w:bookmarkEnd w:id="36"/>
    </w:p>
    <w:p/>
    <w:p/>
    <w:p/>
    <w:p/>
    <w:p/>
    <w:p/>
    <w:p>
      <w:pPr>
        <w:spacing w:line="460" w:lineRule="exact"/>
        <w:jc w:val="center"/>
        <w:outlineLvl w:val="0"/>
        <w:rPr>
          <w:b/>
          <w:sz w:val="32"/>
          <w:szCs w:val="32"/>
        </w:rPr>
      </w:pPr>
      <w:bookmarkStart w:id="37" w:name="_Toc8378_WPSOffice_Level1"/>
    </w:p>
    <w:p>
      <w:pPr>
        <w:spacing w:line="460" w:lineRule="exact"/>
        <w:jc w:val="center"/>
        <w:outlineLvl w:val="0"/>
        <w:rPr>
          <w:b/>
          <w:sz w:val="32"/>
          <w:szCs w:val="32"/>
        </w:rPr>
      </w:pPr>
    </w:p>
    <w:p>
      <w:pPr>
        <w:spacing w:line="460" w:lineRule="exact"/>
        <w:jc w:val="center"/>
        <w:outlineLvl w:val="0"/>
        <w:rPr>
          <w:b/>
          <w:sz w:val="32"/>
          <w:szCs w:val="32"/>
        </w:rPr>
      </w:pPr>
    </w:p>
    <w:p>
      <w:pPr>
        <w:spacing w:line="460" w:lineRule="exact"/>
        <w:jc w:val="center"/>
        <w:outlineLvl w:val="0"/>
        <w:rPr>
          <w:b/>
          <w:sz w:val="32"/>
          <w:szCs w:val="32"/>
        </w:rPr>
      </w:pPr>
    </w:p>
    <w:p>
      <w:pPr>
        <w:spacing w:line="460" w:lineRule="exact"/>
        <w:jc w:val="center"/>
        <w:outlineLvl w:val="0"/>
        <w:rPr>
          <w:b/>
          <w:sz w:val="32"/>
          <w:szCs w:val="32"/>
        </w:rPr>
      </w:pPr>
    </w:p>
    <w:p>
      <w:pPr>
        <w:spacing w:line="460" w:lineRule="exact"/>
        <w:jc w:val="center"/>
        <w:outlineLvl w:val="0"/>
        <w:rPr>
          <w:b/>
          <w:sz w:val="32"/>
          <w:szCs w:val="32"/>
        </w:rPr>
      </w:pPr>
    </w:p>
    <w:p>
      <w:pPr>
        <w:spacing w:line="460" w:lineRule="exact"/>
        <w:jc w:val="center"/>
        <w:outlineLvl w:val="0"/>
        <w:rPr>
          <w:b/>
          <w:szCs w:val="21"/>
        </w:rPr>
      </w:pPr>
      <w:r>
        <w:rPr>
          <w:rFonts w:hint="eastAsia"/>
          <w:b/>
          <w:sz w:val="32"/>
          <w:szCs w:val="32"/>
        </w:rPr>
        <w:t>四、本案主创人员一览表</w:t>
      </w:r>
      <w:bookmarkEnd w:id="37"/>
    </w:p>
    <w:tbl>
      <w:tblPr>
        <w:tblStyle w:val="9"/>
        <w:tblpPr w:leftFromText="180" w:rightFromText="180" w:vertAnchor="text" w:horzAnchor="page" w:tblpX="770" w:tblpY="480"/>
        <w:tblOverlap w:val="never"/>
        <w:tblW w:w="9932" w:type="dxa"/>
        <w:tblInd w:w="0" w:type="dxa"/>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113"/>
        <w:gridCol w:w="1276"/>
        <w:gridCol w:w="1400"/>
        <w:gridCol w:w="6143"/>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933" w:hRule="atLeast"/>
        </w:trPr>
        <w:tc>
          <w:tcPr>
            <w:tcW w:w="1113" w:type="dxa"/>
            <w:vAlign w:val="center"/>
          </w:tcPr>
          <w:p>
            <w:pPr>
              <w:spacing w:line="460" w:lineRule="exact"/>
              <w:jc w:val="center"/>
              <w:rPr>
                <w:szCs w:val="21"/>
              </w:rPr>
            </w:pPr>
            <w:r>
              <w:rPr>
                <w:rFonts w:hint="eastAsia"/>
                <w:szCs w:val="21"/>
              </w:rPr>
              <w:t>姓名</w:t>
            </w:r>
          </w:p>
        </w:tc>
        <w:tc>
          <w:tcPr>
            <w:tcW w:w="1276" w:type="dxa"/>
            <w:vAlign w:val="center"/>
          </w:tcPr>
          <w:p>
            <w:pPr>
              <w:spacing w:line="460" w:lineRule="exact"/>
              <w:jc w:val="center"/>
              <w:rPr>
                <w:szCs w:val="21"/>
              </w:rPr>
            </w:pPr>
            <w:r>
              <w:rPr>
                <w:rFonts w:hint="eastAsia"/>
                <w:szCs w:val="21"/>
              </w:rPr>
              <w:t>职务</w:t>
            </w:r>
          </w:p>
        </w:tc>
        <w:tc>
          <w:tcPr>
            <w:tcW w:w="1400" w:type="dxa"/>
            <w:vAlign w:val="center"/>
          </w:tcPr>
          <w:p>
            <w:pPr>
              <w:spacing w:line="460" w:lineRule="exact"/>
              <w:jc w:val="center"/>
              <w:rPr>
                <w:szCs w:val="21"/>
              </w:rPr>
            </w:pPr>
            <w:r>
              <w:rPr>
                <w:rFonts w:hint="eastAsia"/>
                <w:szCs w:val="21"/>
              </w:rPr>
              <w:t>职称</w:t>
            </w:r>
          </w:p>
        </w:tc>
        <w:tc>
          <w:tcPr>
            <w:tcW w:w="6143" w:type="dxa"/>
            <w:vAlign w:val="center"/>
          </w:tcPr>
          <w:p>
            <w:pPr>
              <w:spacing w:line="460" w:lineRule="exact"/>
              <w:jc w:val="center"/>
              <w:rPr>
                <w:szCs w:val="21"/>
              </w:rPr>
            </w:pPr>
            <w:r>
              <w:rPr>
                <w:rFonts w:hint="eastAsia"/>
                <w:szCs w:val="21"/>
              </w:rPr>
              <w:t>策划楼盘业绩</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63" w:hRule="atLeast"/>
        </w:trPr>
        <w:tc>
          <w:tcPr>
            <w:tcW w:w="1113" w:type="dxa"/>
          </w:tcPr>
          <w:p>
            <w:pPr>
              <w:spacing w:line="460" w:lineRule="exact"/>
              <w:jc w:val="center"/>
              <w:rPr>
                <w:szCs w:val="21"/>
              </w:rPr>
            </w:pPr>
          </w:p>
        </w:tc>
        <w:tc>
          <w:tcPr>
            <w:tcW w:w="1276" w:type="dxa"/>
          </w:tcPr>
          <w:p>
            <w:pPr>
              <w:spacing w:line="460" w:lineRule="exact"/>
              <w:jc w:val="center"/>
              <w:rPr>
                <w:szCs w:val="21"/>
              </w:rPr>
            </w:pPr>
          </w:p>
        </w:tc>
        <w:tc>
          <w:tcPr>
            <w:tcW w:w="1400" w:type="dxa"/>
          </w:tcPr>
          <w:p>
            <w:pPr>
              <w:spacing w:line="460" w:lineRule="exact"/>
              <w:jc w:val="center"/>
              <w:rPr>
                <w:szCs w:val="21"/>
              </w:rPr>
            </w:pPr>
          </w:p>
        </w:tc>
        <w:tc>
          <w:tcPr>
            <w:tcW w:w="6143" w:type="dxa"/>
          </w:tcPr>
          <w:p>
            <w:pPr>
              <w:spacing w:line="460" w:lineRule="exact"/>
              <w:jc w:val="center"/>
              <w:rPr>
                <w:szCs w:val="21"/>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130" w:hRule="atLeast"/>
        </w:trPr>
        <w:tc>
          <w:tcPr>
            <w:tcW w:w="1113" w:type="dxa"/>
          </w:tcPr>
          <w:p>
            <w:pPr>
              <w:spacing w:line="460" w:lineRule="exact"/>
              <w:jc w:val="center"/>
              <w:rPr>
                <w:szCs w:val="21"/>
              </w:rPr>
            </w:pPr>
          </w:p>
        </w:tc>
        <w:tc>
          <w:tcPr>
            <w:tcW w:w="1276" w:type="dxa"/>
          </w:tcPr>
          <w:p>
            <w:pPr>
              <w:spacing w:line="460" w:lineRule="exact"/>
              <w:jc w:val="center"/>
              <w:rPr>
                <w:szCs w:val="21"/>
              </w:rPr>
            </w:pPr>
          </w:p>
        </w:tc>
        <w:tc>
          <w:tcPr>
            <w:tcW w:w="1400" w:type="dxa"/>
          </w:tcPr>
          <w:p>
            <w:pPr>
              <w:spacing w:line="460" w:lineRule="exact"/>
              <w:jc w:val="center"/>
              <w:rPr>
                <w:szCs w:val="21"/>
              </w:rPr>
            </w:pPr>
          </w:p>
        </w:tc>
        <w:tc>
          <w:tcPr>
            <w:tcW w:w="6143" w:type="dxa"/>
          </w:tcPr>
          <w:p>
            <w:pPr>
              <w:spacing w:line="460" w:lineRule="exact"/>
              <w:jc w:val="center"/>
              <w:rPr>
                <w:szCs w:val="21"/>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260" w:hRule="atLeast"/>
        </w:trPr>
        <w:tc>
          <w:tcPr>
            <w:tcW w:w="1113" w:type="dxa"/>
          </w:tcPr>
          <w:p>
            <w:pPr>
              <w:spacing w:line="460" w:lineRule="exact"/>
              <w:jc w:val="center"/>
              <w:rPr>
                <w:szCs w:val="21"/>
              </w:rPr>
            </w:pPr>
          </w:p>
        </w:tc>
        <w:tc>
          <w:tcPr>
            <w:tcW w:w="1276" w:type="dxa"/>
          </w:tcPr>
          <w:p>
            <w:pPr>
              <w:spacing w:line="460" w:lineRule="exact"/>
              <w:jc w:val="center"/>
              <w:rPr>
                <w:szCs w:val="21"/>
              </w:rPr>
            </w:pPr>
          </w:p>
        </w:tc>
        <w:tc>
          <w:tcPr>
            <w:tcW w:w="1400" w:type="dxa"/>
          </w:tcPr>
          <w:p>
            <w:pPr>
              <w:spacing w:line="460" w:lineRule="exact"/>
              <w:jc w:val="center"/>
              <w:rPr>
                <w:szCs w:val="21"/>
              </w:rPr>
            </w:pPr>
          </w:p>
        </w:tc>
        <w:tc>
          <w:tcPr>
            <w:tcW w:w="6143" w:type="dxa"/>
          </w:tcPr>
          <w:p>
            <w:pPr>
              <w:spacing w:line="460" w:lineRule="exact"/>
              <w:jc w:val="center"/>
              <w:rPr>
                <w:szCs w:val="21"/>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019" w:hRule="atLeast"/>
        </w:trPr>
        <w:tc>
          <w:tcPr>
            <w:tcW w:w="1113" w:type="dxa"/>
          </w:tcPr>
          <w:p>
            <w:pPr>
              <w:spacing w:line="460" w:lineRule="exact"/>
              <w:jc w:val="center"/>
              <w:rPr>
                <w:szCs w:val="21"/>
              </w:rPr>
            </w:pPr>
          </w:p>
        </w:tc>
        <w:tc>
          <w:tcPr>
            <w:tcW w:w="1276" w:type="dxa"/>
          </w:tcPr>
          <w:p>
            <w:pPr>
              <w:spacing w:line="460" w:lineRule="exact"/>
              <w:jc w:val="center"/>
              <w:rPr>
                <w:szCs w:val="21"/>
              </w:rPr>
            </w:pPr>
          </w:p>
        </w:tc>
        <w:tc>
          <w:tcPr>
            <w:tcW w:w="1400" w:type="dxa"/>
          </w:tcPr>
          <w:p>
            <w:pPr>
              <w:spacing w:line="460" w:lineRule="exact"/>
              <w:jc w:val="center"/>
              <w:rPr>
                <w:szCs w:val="21"/>
              </w:rPr>
            </w:pPr>
          </w:p>
        </w:tc>
        <w:tc>
          <w:tcPr>
            <w:tcW w:w="6143" w:type="dxa"/>
          </w:tcPr>
          <w:p>
            <w:pPr>
              <w:spacing w:line="460" w:lineRule="exact"/>
              <w:jc w:val="center"/>
              <w:rPr>
                <w:szCs w:val="21"/>
              </w:rPr>
            </w:pPr>
          </w:p>
        </w:tc>
      </w:tr>
    </w:tbl>
    <w:p>
      <w:pPr>
        <w:spacing w:line="460" w:lineRule="exact"/>
        <w:jc w:val="center"/>
        <w:rPr>
          <w:b/>
          <w:szCs w:val="21"/>
        </w:rPr>
      </w:pPr>
    </w:p>
    <w:p>
      <w:pPr>
        <w:spacing w:line="460" w:lineRule="exact"/>
        <w:jc w:val="center"/>
        <w:outlineLvl w:val="0"/>
        <w:rPr>
          <w:b/>
          <w:sz w:val="32"/>
          <w:szCs w:val="32"/>
        </w:rPr>
      </w:pPr>
      <w:bookmarkStart w:id="38" w:name="_Toc4139_WPSOffice_Level1"/>
    </w:p>
    <w:p>
      <w:pPr>
        <w:spacing w:line="460" w:lineRule="exact"/>
        <w:jc w:val="center"/>
        <w:outlineLvl w:val="0"/>
        <w:rPr>
          <w:b/>
          <w:sz w:val="32"/>
          <w:szCs w:val="32"/>
        </w:rPr>
      </w:pPr>
    </w:p>
    <w:p>
      <w:pPr>
        <w:spacing w:line="460" w:lineRule="exact"/>
        <w:jc w:val="center"/>
        <w:outlineLvl w:val="0"/>
        <w:rPr>
          <w:b/>
          <w:sz w:val="32"/>
          <w:szCs w:val="32"/>
        </w:rPr>
      </w:pPr>
    </w:p>
    <w:p>
      <w:pPr>
        <w:spacing w:line="460" w:lineRule="exact"/>
        <w:jc w:val="center"/>
        <w:outlineLvl w:val="0"/>
        <w:rPr>
          <w:b/>
          <w:sz w:val="32"/>
          <w:szCs w:val="32"/>
        </w:rPr>
      </w:pPr>
    </w:p>
    <w:p>
      <w:pPr>
        <w:spacing w:line="460" w:lineRule="exact"/>
        <w:jc w:val="center"/>
        <w:outlineLvl w:val="0"/>
        <w:rPr>
          <w:b/>
          <w:sz w:val="32"/>
          <w:szCs w:val="32"/>
        </w:rPr>
      </w:pPr>
      <w:r>
        <w:rPr>
          <w:rFonts w:hint="eastAsia"/>
          <w:b/>
          <w:sz w:val="32"/>
          <w:szCs w:val="32"/>
        </w:rPr>
        <w:t>五、公司</w:t>
      </w:r>
      <w:r>
        <w:rPr>
          <w:rFonts w:hint="eastAsia"/>
          <w:b/>
          <w:sz w:val="32"/>
          <w:szCs w:val="32"/>
          <w:lang w:val="en-US"/>
        </w:rPr>
        <w:t>销售</w:t>
      </w:r>
      <w:r>
        <w:rPr>
          <w:rFonts w:hint="eastAsia"/>
          <w:b/>
          <w:sz w:val="32"/>
          <w:szCs w:val="32"/>
        </w:rPr>
        <w:t>业绩一览表</w:t>
      </w:r>
      <w:bookmarkEnd w:id="38"/>
    </w:p>
    <w:tbl>
      <w:tblPr>
        <w:tblStyle w:val="9"/>
        <w:tblpPr w:leftFromText="180" w:rightFromText="180" w:vertAnchor="text" w:horzAnchor="page" w:tblpX="974" w:tblpY="487"/>
        <w:tblOverlap w:val="never"/>
        <w:tblW w:w="9671" w:type="dxa"/>
        <w:tblInd w:w="0" w:type="dxa"/>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139"/>
        <w:gridCol w:w="1680"/>
        <w:gridCol w:w="6852"/>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607" w:hRule="atLeast"/>
        </w:trPr>
        <w:tc>
          <w:tcPr>
            <w:tcW w:w="1139" w:type="dxa"/>
            <w:vAlign w:val="center"/>
          </w:tcPr>
          <w:p>
            <w:pPr>
              <w:spacing w:line="460" w:lineRule="exact"/>
              <w:jc w:val="center"/>
              <w:rPr>
                <w:szCs w:val="21"/>
              </w:rPr>
            </w:pPr>
            <w:r>
              <w:rPr>
                <w:rFonts w:hint="eastAsia"/>
                <w:szCs w:val="21"/>
              </w:rPr>
              <w:t>时间</w:t>
            </w:r>
          </w:p>
        </w:tc>
        <w:tc>
          <w:tcPr>
            <w:tcW w:w="1680" w:type="dxa"/>
            <w:vAlign w:val="center"/>
          </w:tcPr>
          <w:p>
            <w:pPr>
              <w:spacing w:line="460" w:lineRule="exact"/>
              <w:jc w:val="center"/>
              <w:rPr>
                <w:szCs w:val="21"/>
              </w:rPr>
            </w:pPr>
            <w:r>
              <w:rPr>
                <w:rFonts w:hint="eastAsia"/>
                <w:szCs w:val="21"/>
              </w:rPr>
              <w:t>项目名称</w:t>
            </w:r>
          </w:p>
        </w:tc>
        <w:tc>
          <w:tcPr>
            <w:tcW w:w="6852" w:type="dxa"/>
            <w:vAlign w:val="center"/>
          </w:tcPr>
          <w:p>
            <w:pPr>
              <w:spacing w:line="460" w:lineRule="exact"/>
              <w:jc w:val="center"/>
              <w:rPr>
                <w:szCs w:val="21"/>
              </w:rPr>
            </w:pPr>
            <w:r>
              <w:rPr>
                <w:rFonts w:hint="eastAsia"/>
                <w:szCs w:val="21"/>
              </w:rPr>
              <w:t>项目销售情况简介</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942" w:hRule="atLeast"/>
        </w:trPr>
        <w:tc>
          <w:tcPr>
            <w:tcW w:w="1139" w:type="dxa"/>
          </w:tcPr>
          <w:p>
            <w:pPr>
              <w:spacing w:line="460" w:lineRule="exact"/>
              <w:jc w:val="center"/>
              <w:rPr>
                <w:szCs w:val="21"/>
              </w:rPr>
            </w:pPr>
          </w:p>
        </w:tc>
        <w:tc>
          <w:tcPr>
            <w:tcW w:w="1680" w:type="dxa"/>
          </w:tcPr>
          <w:p>
            <w:pPr>
              <w:spacing w:line="460" w:lineRule="exact"/>
              <w:jc w:val="center"/>
              <w:rPr>
                <w:szCs w:val="21"/>
              </w:rPr>
            </w:pPr>
          </w:p>
        </w:tc>
        <w:tc>
          <w:tcPr>
            <w:tcW w:w="6852" w:type="dxa"/>
          </w:tcPr>
          <w:p>
            <w:pPr>
              <w:spacing w:line="460" w:lineRule="exact"/>
              <w:jc w:val="center"/>
              <w:rPr>
                <w:szCs w:val="21"/>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942" w:hRule="atLeast"/>
        </w:trPr>
        <w:tc>
          <w:tcPr>
            <w:tcW w:w="1139" w:type="dxa"/>
          </w:tcPr>
          <w:p>
            <w:pPr>
              <w:spacing w:line="460" w:lineRule="exact"/>
              <w:jc w:val="center"/>
              <w:rPr>
                <w:szCs w:val="21"/>
              </w:rPr>
            </w:pPr>
          </w:p>
        </w:tc>
        <w:tc>
          <w:tcPr>
            <w:tcW w:w="1680" w:type="dxa"/>
          </w:tcPr>
          <w:p>
            <w:pPr>
              <w:spacing w:line="460" w:lineRule="exact"/>
              <w:jc w:val="center"/>
              <w:rPr>
                <w:szCs w:val="21"/>
              </w:rPr>
            </w:pPr>
          </w:p>
        </w:tc>
        <w:tc>
          <w:tcPr>
            <w:tcW w:w="6852" w:type="dxa"/>
          </w:tcPr>
          <w:p>
            <w:pPr>
              <w:spacing w:line="460" w:lineRule="exact"/>
              <w:jc w:val="center"/>
              <w:rPr>
                <w:szCs w:val="21"/>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942" w:hRule="atLeast"/>
        </w:trPr>
        <w:tc>
          <w:tcPr>
            <w:tcW w:w="1139" w:type="dxa"/>
          </w:tcPr>
          <w:p>
            <w:pPr>
              <w:spacing w:line="460" w:lineRule="exact"/>
              <w:jc w:val="center"/>
              <w:rPr>
                <w:szCs w:val="21"/>
              </w:rPr>
            </w:pPr>
          </w:p>
        </w:tc>
        <w:tc>
          <w:tcPr>
            <w:tcW w:w="1680" w:type="dxa"/>
          </w:tcPr>
          <w:p>
            <w:pPr>
              <w:spacing w:line="460" w:lineRule="exact"/>
              <w:jc w:val="center"/>
              <w:rPr>
                <w:szCs w:val="21"/>
              </w:rPr>
            </w:pPr>
          </w:p>
        </w:tc>
        <w:tc>
          <w:tcPr>
            <w:tcW w:w="6852" w:type="dxa"/>
          </w:tcPr>
          <w:p>
            <w:pPr>
              <w:spacing w:line="460" w:lineRule="exact"/>
              <w:jc w:val="center"/>
              <w:rPr>
                <w:szCs w:val="21"/>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942" w:hRule="atLeast"/>
        </w:trPr>
        <w:tc>
          <w:tcPr>
            <w:tcW w:w="1139" w:type="dxa"/>
          </w:tcPr>
          <w:p>
            <w:pPr>
              <w:spacing w:line="460" w:lineRule="exact"/>
              <w:jc w:val="center"/>
              <w:rPr>
                <w:szCs w:val="21"/>
              </w:rPr>
            </w:pPr>
          </w:p>
        </w:tc>
        <w:tc>
          <w:tcPr>
            <w:tcW w:w="1680" w:type="dxa"/>
          </w:tcPr>
          <w:p>
            <w:pPr>
              <w:spacing w:line="460" w:lineRule="exact"/>
              <w:jc w:val="center"/>
              <w:rPr>
                <w:szCs w:val="21"/>
              </w:rPr>
            </w:pPr>
          </w:p>
        </w:tc>
        <w:tc>
          <w:tcPr>
            <w:tcW w:w="6852" w:type="dxa"/>
          </w:tcPr>
          <w:p>
            <w:pPr>
              <w:spacing w:line="460" w:lineRule="exact"/>
              <w:jc w:val="center"/>
              <w:rPr>
                <w:szCs w:val="21"/>
              </w:rPr>
            </w:pPr>
          </w:p>
        </w:tc>
      </w:tr>
    </w:tbl>
    <w:p>
      <w:pPr>
        <w:numPr>
          <w:ilvl w:val="0"/>
          <w:numId w:val="0"/>
        </w:numPr>
        <w:spacing w:line="460" w:lineRule="exact"/>
        <w:jc w:val="left"/>
        <w:outlineLvl w:val="0"/>
        <w:rPr>
          <w:b/>
          <w:sz w:val="32"/>
          <w:szCs w:val="32"/>
        </w:rPr>
      </w:pPr>
    </w:p>
    <w:p>
      <w:pPr>
        <w:numPr>
          <w:ilvl w:val="0"/>
          <w:numId w:val="5"/>
        </w:numPr>
        <w:spacing w:line="460" w:lineRule="exact"/>
        <w:jc w:val="left"/>
        <w:outlineLvl w:val="0"/>
        <w:rPr>
          <w:b/>
          <w:sz w:val="32"/>
          <w:szCs w:val="32"/>
        </w:rPr>
      </w:pPr>
      <w:bookmarkStart w:id="39" w:name="_Toc20489_WPSOffice_Level1"/>
      <w:r>
        <w:rPr>
          <w:rFonts w:hint="eastAsia"/>
          <w:b/>
          <w:sz w:val="32"/>
          <w:szCs w:val="32"/>
          <w:lang w:val="en-US" w:eastAsia="zh-CN"/>
        </w:rPr>
        <w:t>宣城城建房地产营销策划有限公司</w:t>
      </w:r>
      <w:r>
        <w:rPr>
          <w:rFonts w:hint="eastAsia"/>
          <w:b/>
          <w:sz w:val="32"/>
          <w:szCs w:val="32"/>
          <w:lang w:val="en-US"/>
        </w:rPr>
        <w:t>销售</w:t>
      </w:r>
      <w:r>
        <w:rPr>
          <w:rFonts w:hint="eastAsia"/>
          <w:b/>
          <w:sz w:val="32"/>
          <w:szCs w:val="32"/>
        </w:rPr>
        <w:t>代理服务</w:t>
      </w:r>
      <w:bookmarkEnd w:id="39"/>
      <w:r>
        <w:rPr>
          <w:rFonts w:hint="eastAsia"/>
          <w:b/>
          <w:sz w:val="32"/>
          <w:szCs w:val="32"/>
        </w:rPr>
        <w:t>内容</w:t>
      </w:r>
    </w:p>
    <w:p>
      <w:pPr>
        <w:spacing w:line="360" w:lineRule="auto"/>
        <w:ind w:firstLine="440" w:firstLineChars="200"/>
        <w:rPr>
          <w:szCs w:val="21"/>
        </w:rPr>
      </w:pPr>
      <w:r>
        <w:rPr>
          <w:rFonts w:hint="eastAsia"/>
          <w:szCs w:val="21"/>
        </w:rPr>
        <w:t>本次招标</w:t>
      </w:r>
      <w:r>
        <w:rPr>
          <w:rFonts w:hint="eastAsia"/>
          <w:szCs w:val="21"/>
          <w:lang w:val="en-US"/>
        </w:rPr>
        <w:t>销售</w:t>
      </w:r>
      <w:r>
        <w:rPr>
          <w:rFonts w:hint="eastAsia"/>
          <w:szCs w:val="21"/>
        </w:rPr>
        <w:t>代理内容包括但不限于：</w:t>
      </w:r>
    </w:p>
    <w:p>
      <w:pPr>
        <w:spacing w:line="360" w:lineRule="auto"/>
        <w:ind w:firstLine="440" w:firstLineChars="200"/>
        <w:rPr>
          <w:szCs w:val="21"/>
        </w:rPr>
      </w:pPr>
      <w:r>
        <w:rPr>
          <w:rFonts w:hint="eastAsia"/>
          <w:szCs w:val="21"/>
        </w:rPr>
        <w:t>1、开展市场调研：宏观和微观形势分析、消费群分析、</w:t>
      </w:r>
      <w:r>
        <w:rPr>
          <w:rFonts w:hint="eastAsia"/>
          <w:szCs w:val="21"/>
          <w:lang w:val="en-US" w:eastAsia="zh-CN"/>
        </w:rPr>
        <w:t>宣城市</w:t>
      </w:r>
      <w:r>
        <w:rPr>
          <w:rFonts w:hint="eastAsia"/>
          <w:szCs w:val="21"/>
        </w:rPr>
        <w:t>房地产市场分析、项目周边环境及房地产市场分析、市场竞争状态分析等内容并提交市场调研报告。在项目实施过程中提交项目竞争楼盘的月度、季度、年度市场调研报告。</w:t>
      </w:r>
    </w:p>
    <w:p>
      <w:pPr>
        <w:spacing w:line="360" w:lineRule="auto"/>
        <w:ind w:firstLine="440" w:firstLineChars="200"/>
        <w:rPr>
          <w:szCs w:val="21"/>
        </w:rPr>
      </w:pPr>
      <w:r>
        <w:rPr>
          <w:rFonts w:hint="eastAsia"/>
          <w:szCs w:val="21"/>
        </w:rPr>
        <w:t>2、提交项目整体及阶段</w:t>
      </w:r>
      <w:r>
        <w:rPr>
          <w:rFonts w:hint="eastAsia"/>
          <w:szCs w:val="21"/>
          <w:lang w:val="en-US"/>
        </w:rPr>
        <w:t>销售</w:t>
      </w:r>
      <w:r>
        <w:rPr>
          <w:rFonts w:hint="eastAsia"/>
          <w:szCs w:val="21"/>
        </w:rPr>
        <w:t>推广细化方案（包括产品详细定价、入市策略、价格策略、销售控制及进度安排、开发节奏安排方案、小区配套配置要求</w:t>
      </w:r>
      <w:r>
        <w:rPr>
          <w:rFonts w:hint="eastAsia"/>
          <w:szCs w:val="21"/>
          <w:lang w:eastAsia="zh-CN"/>
        </w:rPr>
        <w:t>、</w:t>
      </w:r>
      <w:r>
        <w:rPr>
          <w:rFonts w:hint="eastAsia"/>
          <w:szCs w:val="21"/>
        </w:rPr>
        <w:t>物业管理服务建议等）。</w:t>
      </w:r>
    </w:p>
    <w:p>
      <w:pPr>
        <w:spacing w:line="360" w:lineRule="auto"/>
        <w:ind w:firstLine="440" w:firstLineChars="200"/>
        <w:rPr>
          <w:szCs w:val="21"/>
        </w:rPr>
      </w:pPr>
      <w:r>
        <w:rPr>
          <w:rFonts w:hint="eastAsia"/>
          <w:szCs w:val="21"/>
          <w:lang w:val="en-US"/>
        </w:rPr>
        <w:t>3</w:t>
      </w:r>
      <w:r>
        <w:rPr>
          <w:rFonts w:hint="eastAsia"/>
          <w:szCs w:val="21"/>
        </w:rPr>
        <w:t>、项目销售人员销售专业技能及礼仪培训；项目现场销售流程的组织设计建议；项目认购及销售期销控计划；项目各阶段公关活动的创意策划。</w:t>
      </w:r>
    </w:p>
    <w:p>
      <w:pPr>
        <w:spacing w:line="360" w:lineRule="auto"/>
        <w:ind w:firstLine="440" w:firstLineChars="200"/>
        <w:rPr>
          <w:szCs w:val="21"/>
        </w:rPr>
      </w:pPr>
      <w:r>
        <w:rPr>
          <w:rFonts w:hint="eastAsia"/>
          <w:szCs w:val="21"/>
          <w:lang w:val="en-US"/>
        </w:rPr>
        <w:t>4</w:t>
      </w:r>
      <w:r>
        <w:rPr>
          <w:rFonts w:hint="eastAsia"/>
          <w:szCs w:val="21"/>
        </w:rPr>
        <w:t>、提交项目全程</w:t>
      </w:r>
      <w:r>
        <w:rPr>
          <w:rFonts w:hint="eastAsia"/>
          <w:szCs w:val="21"/>
          <w:lang w:val="en-US"/>
        </w:rPr>
        <w:t>销售</w:t>
      </w:r>
      <w:r>
        <w:rPr>
          <w:rFonts w:hint="eastAsia"/>
          <w:szCs w:val="21"/>
        </w:rPr>
        <w:t>推广计划及费用预算报告。</w:t>
      </w:r>
    </w:p>
    <w:p>
      <w:pPr>
        <w:spacing w:line="360" w:lineRule="auto"/>
        <w:ind w:firstLine="440" w:firstLineChars="200"/>
        <w:rPr>
          <w:szCs w:val="21"/>
        </w:rPr>
      </w:pPr>
      <w:r>
        <w:rPr>
          <w:rFonts w:hint="eastAsia"/>
          <w:szCs w:val="21"/>
          <w:lang w:val="en-US"/>
        </w:rPr>
        <w:t>5</w:t>
      </w:r>
      <w:r>
        <w:rPr>
          <w:rFonts w:hint="eastAsia"/>
          <w:szCs w:val="21"/>
        </w:rPr>
        <w:t>、项目销售及行政人员应配合招标人录入</w:t>
      </w:r>
      <w:r>
        <w:rPr>
          <w:rFonts w:hint="eastAsia"/>
          <w:szCs w:val="21"/>
          <w:lang w:eastAsia="zh-CN"/>
        </w:rPr>
        <w:t>营销</w:t>
      </w:r>
      <w:r>
        <w:rPr>
          <w:rFonts w:hint="eastAsia"/>
          <w:szCs w:val="21"/>
        </w:rPr>
        <w:t>系统，完善台账，制作并按时提交招标人要求的各类报表。</w:t>
      </w:r>
    </w:p>
    <w:p>
      <w:pPr>
        <w:spacing w:line="460" w:lineRule="exact"/>
        <w:jc w:val="center"/>
        <w:rPr>
          <w:szCs w:val="21"/>
          <w:lang w:val="en-US"/>
        </w:rPr>
      </w:pPr>
    </w:p>
    <w:p>
      <w:pPr>
        <w:spacing w:line="460" w:lineRule="exact"/>
        <w:jc w:val="center"/>
        <w:rPr>
          <w:szCs w:val="21"/>
          <w:lang w:val="en-US"/>
        </w:rPr>
      </w:pPr>
    </w:p>
    <w:p>
      <w:pPr>
        <w:spacing w:line="460" w:lineRule="exact"/>
        <w:jc w:val="center"/>
        <w:rPr>
          <w:szCs w:val="21"/>
          <w:lang w:val="en-US"/>
        </w:rPr>
      </w:pPr>
    </w:p>
    <w:p>
      <w:pPr>
        <w:tabs>
          <w:tab w:val="left" w:pos="3090"/>
        </w:tabs>
        <w:spacing w:line="460" w:lineRule="exact"/>
        <w:rPr>
          <w:szCs w:val="21"/>
          <w:lang w:val="en-US"/>
        </w:rPr>
      </w:pPr>
      <w:r>
        <w:rPr>
          <w:szCs w:val="21"/>
          <w:lang w:val="en-US"/>
        </w:rPr>
        <w:tab/>
      </w:r>
    </w:p>
    <w:p>
      <w:pPr>
        <w:spacing w:line="460" w:lineRule="exact"/>
        <w:jc w:val="center"/>
        <w:rPr>
          <w:szCs w:val="21"/>
          <w:lang w:val="en-US"/>
        </w:rPr>
      </w:pPr>
    </w:p>
    <w:p>
      <w:pPr>
        <w:spacing w:line="460" w:lineRule="exact"/>
        <w:jc w:val="center"/>
        <w:rPr>
          <w:szCs w:val="21"/>
          <w:lang w:val="en-US"/>
        </w:rPr>
      </w:pPr>
    </w:p>
    <w:p>
      <w:pPr>
        <w:spacing w:line="460" w:lineRule="exact"/>
        <w:jc w:val="center"/>
        <w:rPr>
          <w:szCs w:val="21"/>
          <w:lang w:val="en-US"/>
        </w:rPr>
      </w:pPr>
    </w:p>
    <w:p>
      <w:pPr>
        <w:spacing w:line="460" w:lineRule="exact"/>
        <w:jc w:val="center"/>
        <w:rPr>
          <w:szCs w:val="21"/>
          <w:lang w:val="en-US"/>
        </w:rPr>
      </w:pPr>
    </w:p>
    <w:p>
      <w:pPr>
        <w:spacing w:line="460" w:lineRule="exact"/>
        <w:jc w:val="center"/>
        <w:rPr>
          <w:szCs w:val="21"/>
          <w:lang w:val="en-US"/>
        </w:rPr>
      </w:pPr>
    </w:p>
    <w:p>
      <w:pPr>
        <w:spacing w:line="460" w:lineRule="exact"/>
        <w:jc w:val="center"/>
        <w:rPr>
          <w:szCs w:val="21"/>
          <w:lang w:val="en-US"/>
        </w:rPr>
      </w:pPr>
    </w:p>
    <w:p>
      <w:pPr>
        <w:spacing w:line="460" w:lineRule="exact"/>
        <w:jc w:val="center"/>
        <w:rPr>
          <w:szCs w:val="21"/>
          <w:lang w:val="en-US"/>
        </w:rPr>
      </w:pPr>
    </w:p>
    <w:p>
      <w:pPr>
        <w:spacing w:line="460" w:lineRule="exact"/>
        <w:jc w:val="center"/>
        <w:rPr>
          <w:szCs w:val="21"/>
          <w:lang w:val="en-US"/>
        </w:rPr>
      </w:pPr>
    </w:p>
    <w:p>
      <w:pPr>
        <w:pStyle w:val="2"/>
        <w:rPr>
          <w:lang w:val="en-US"/>
        </w:rPr>
      </w:pPr>
    </w:p>
    <w:p>
      <w:pPr>
        <w:spacing w:line="460" w:lineRule="exact"/>
        <w:jc w:val="center"/>
        <w:rPr>
          <w:szCs w:val="21"/>
          <w:lang w:val="en-US"/>
        </w:rPr>
      </w:pPr>
    </w:p>
    <w:p>
      <w:pPr>
        <w:spacing w:line="460" w:lineRule="exact"/>
        <w:jc w:val="center"/>
        <w:rPr>
          <w:szCs w:val="21"/>
          <w:lang w:val="en-US"/>
        </w:rPr>
      </w:pPr>
    </w:p>
    <w:p>
      <w:pPr>
        <w:spacing w:line="460" w:lineRule="exact"/>
        <w:jc w:val="center"/>
        <w:rPr>
          <w:szCs w:val="21"/>
          <w:lang w:val="en-US"/>
        </w:rPr>
      </w:pPr>
    </w:p>
    <w:p>
      <w:pPr>
        <w:spacing w:line="460" w:lineRule="exact"/>
        <w:jc w:val="center"/>
        <w:rPr>
          <w:b/>
          <w:sz w:val="32"/>
          <w:szCs w:val="32"/>
          <w:lang w:val="en-US"/>
        </w:rPr>
      </w:pPr>
    </w:p>
    <w:p>
      <w:pPr>
        <w:numPr>
          <w:ilvl w:val="0"/>
          <w:numId w:val="5"/>
        </w:numPr>
        <w:spacing w:line="460" w:lineRule="exact"/>
        <w:jc w:val="center"/>
        <w:outlineLvl w:val="0"/>
        <w:rPr>
          <w:b/>
          <w:sz w:val="32"/>
          <w:szCs w:val="32"/>
          <w:lang w:val="en-US"/>
        </w:rPr>
      </w:pPr>
      <w:r>
        <w:rPr>
          <w:rFonts w:hint="eastAsia"/>
          <w:b/>
          <w:sz w:val="32"/>
          <w:szCs w:val="32"/>
          <w:lang w:val="en-US"/>
        </w:rPr>
        <w:t>销售代理招标评分表</w:t>
      </w:r>
    </w:p>
    <w:tbl>
      <w:tblPr>
        <w:tblStyle w:val="9"/>
        <w:tblpPr w:leftFromText="180" w:rightFromText="180" w:vertAnchor="text" w:horzAnchor="page" w:tblpX="920" w:tblpY="480"/>
        <w:tblOverlap w:val="never"/>
        <w:tblW w:w="9920" w:type="dxa"/>
        <w:tblInd w:w="0" w:type="dxa"/>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
      <w:tblGrid>
        <w:gridCol w:w="1061"/>
        <w:gridCol w:w="1072"/>
        <w:gridCol w:w="742"/>
        <w:gridCol w:w="920"/>
        <w:gridCol w:w="6125"/>
      </w:tblGrid>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513" w:hRule="atLeast"/>
        </w:trPr>
        <w:tc>
          <w:tcPr>
            <w:tcW w:w="9920" w:type="dxa"/>
            <w:gridSpan w:val="5"/>
            <w:tcBorders>
              <w:tl2br w:val="nil"/>
              <w:tr2bl w:val="nil"/>
            </w:tcBorders>
            <w:tcMar>
              <w:top w:w="15" w:type="dxa"/>
              <w:left w:w="15" w:type="dxa"/>
              <w:right w:w="15" w:type="dxa"/>
            </w:tcMar>
            <w:vAlign w:val="center"/>
          </w:tcPr>
          <w:p>
            <w:pPr>
              <w:widowControl/>
              <w:textAlignment w:val="center"/>
              <w:rPr>
                <w:b/>
                <w:color w:val="000000"/>
                <w:sz w:val="24"/>
                <w:szCs w:val="24"/>
              </w:rPr>
            </w:pPr>
            <w:r>
              <w:rPr>
                <w:rFonts w:hint="eastAsia"/>
                <w:b/>
                <w:color w:val="000000"/>
                <w:sz w:val="24"/>
                <w:szCs w:val="24"/>
                <w:lang w:val="en-US" w:bidi="ar"/>
              </w:rPr>
              <w:t>投标单位：</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79" w:hRule="atLeast"/>
        </w:trPr>
        <w:tc>
          <w:tcPr>
            <w:tcW w:w="1061" w:type="dxa"/>
            <w:tcBorders>
              <w:tl2br w:val="nil"/>
              <w:tr2bl w:val="nil"/>
            </w:tcBorders>
            <w:tcMar>
              <w:top w:w="15" w:type="dxa"/>
              <w:left w:w="15" w:type="dxa"/>
              <w:right w:w="15" w:type="dxa"/>
            </w:tcMar>
            <w:vAlign w:val="center"/>
          </w:tcPr>
          <w:p>
            <w:pPr>
              <w:widowControl/>
              <w:jc w:val="center"/>
              <w:textAlignment w:val="center"/>
              <w:rPr>
                <w:color w:val="000000"/>
                <w:sz w:val="21"/>
                <w:szCs w:val="21"/>
              </w:rPr>
            </w:pPr>
            <w:r>
              <w:rPr>
                <w:rFonts w:hint="eastAsia"/>
                <w:color w:val="000000"/>
                <w:sz w:val="21"/>
                <w:szCs w:val="21"/>
                <w:lang w:val="en-US" w:bidi="ar"/>
              </w:rPr>
              <w:t>评标项目</w:t>
            </w:r>
          </w:p>
        </w:tc>
        <w:tc>
          <w:tcPr>
            <w:tcW w:w="1072" w:type="dxa"/>
            <w:tcBorders>
              <w:tl2br w:val="nil"/>
              <w:tr2bl w:val="nil"/>
            </w:tcBorders>
            <w:tcMar>
              <w:top w:w="15" w:type="dxa"/>
              <w:left w:w="15" w:type="dxa"/>
              <w:right w:w="15" w:type="dxa"/>
            </w:tcMar>
            <w:vAlign w:val="center"/>
          </w:tcPr>
          <w:p>
            <w:pPr>
              <w:widowControl/>
              <w:jc w:val="center"/>
              <w:textAlignment w:val="center"/>
              <w:rPr>
                <w:color w:val="000000"/>
                <w:sz w:val="21"/>
                <w:szCs w:val="21"/>
              </w:rPr>
            </w:pPr>
            <w:r>
              <w:rPr>
                <w:rFonts w:hint="eastAsia"/>
                <w:color w:val="000000"/>
                <w:sz w:val="21"/>
                <w:szCs w:val="21"/>
                <w:lang w:val="en-US" w:bidi="ar"/>
              </w:rPr>
              <w:t>评标细项</w:t>
            </w:r>
          </w:p>
        </w:tc>
        <w:tc>
          <w:tcPr>
            <w:tcW w:w="742" w:type="dxa"/>
            <w:tcBorders>
              <w:tl2br w:val="nil"/>
              <w:tr2bl w:val="nil"/>
            </w:tcBorders>
            <w:tcMar>
              <w:top w:w="15" w:type="dxa"/>
              <w:left w:w="15" w:type="dxa"/>
              <w:right w:w="15" w:type="dxa"/>
            </w:tcMar>
            <w:vAlign w:val="center"/>
          </w:tcPr>
          <w:p>
            <w:pPr>
              <w:widowControl/>
              <w:jc w:val="center"/>
              <w:textAlignment w:val="center"/>
              <w:rPr>
                <w:sz w:val="20"/>
                <w:szCs w:val="20"/>
              </w:rPr>
            </w:pPr>
            <w:r>
              <w:rPr>
                <w:rFonts w:hint="eastAsia"/>
                <w:color w:val="000000"/>
                <w:sz w:val="21"/>
                <w:szCs w:val="21"/>
                <w:lang w:val="en-US" w:bidi="ar"/>
              </w:rPr>
              <w:t>评分</w:t>
            </w:r>
          </w:p>
        </w:tc>
        <w:tc>
          <w:tcPr>
            <w:tcW w:w="920" w:type="dxa"/>
            <w:tcBorders>
              <w:tl2br w:val="nil"/>
              <w:tr2bl w:val="nil"/>
            </w:tcBorders>
            <w:tcMar>
              <w:top w:w="15" w:type="dxa"/>
              <w:left w:w="15" w:type="dxa"/>
              <w:right w:w="15" w:type="dxa"/>
            </w:tcMar>
            <w:vAlign w:val="center"/>
          </w:tcPr>
          <w:p>
            <w:pPr>
              <w:widowControl/>
              <w:jc w:val="center"/>
              <w:textAlignment w:val="center"/>
              <w:rPr>
                <w:color w:val="000000"/>
                <w:sz w:val="21"/>
                <w:szCs w:val="21"/>
              </w:rPr>
            </w:pPr>
            <w:r>
              <w:rPr>
                <w:rFonts w:hint="eastAsia"/>
                <w:color w:val="000000"/>
                <w:sz w:val="21"/>
                <w:szCs w:val="21"/>
                <w:lang w:val="en-US" w:bidi="ar"/>
              </w:rPr>
              <w:t>小计</w:t>
            </w:r>
          </w:p>
        </w:tc>
        <w:tc>
          <w:tcPr>
            <w:tcW w:w="6125" w:type="dxa"/>
            <w:tcBorders>
              <w:tl2br w:val="nil"/>
              <w:tr2bl w:val="nil"/>
            </w:tcBorders>
            <w:tcMar>
              <w:top w:w="15" w:type="dxa"/>
              <w:left w:w="15" w:type="dxa"/>
              <w:right w:w="15" w:type="dxa"/>
            </w:tcMar>
            <w:vAlign w:val="center"/>
          </w:tcPr>
          <w:p>
            <w:pPr>
              <w:widowControl/>
              <w:jc w:val="center"/>
              <w:textAlignment w:val="center"/>
              <w:rPr>
                <w:color w:val="000000"/>
                <w:sz w:val="21"/>
                <w:szCs w:val="21"/>
              </w:rPr>
            </w:pPr>
            <w:r>
              <w:rPr>
                <w:rFonts w:hint="eastAsia"/>
                <w:color w:val="000000"/>
                <w:sz w:val="21"/>
                <w:szCs w:val="21"/>
                <w:lang w:val="en-US" w:bidi="ar"/>
              </w:rPr>
              <w:t>评标规则</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1061" w:hRule="atLeast"/>
        </w:trPr>
        <w:tc>
          <w:tcPr>
            <w:tcW w:w="1061" w:type="dxa"/>
            <w:vMerge w:val="restart"/>
            <w:tcBorders>
              <w:tl2br w:val="nil"/>
              <w:tr2bl w:val="nil"/>
            </w:tcBorders>
            <w:tcMar>
              <w:top w:w="15" w:type="dxa"/>
              <w:left w:w="15" w:type="dxa"/>
              <w:right w:w="15" w:type="dxa"/>
            </w:tcMar>
            <w:vAlign w:val="center"/>
          </w:tcPr>
          <w:p>
            <w:pPr>
              <w:widowControl/>
              <w:jc w:val="center"/>
              <w:textAlignment w:val="center"/>
              <w:rPr>
                <w:b/>
                <w:color w:val="000000"/>
                <w:sz w:val="21"/>
                <w:szCs w:val="21"/>
              </w:rPr>
            </w:pPr>
            <w:r>
              <w:rPr>
                <w:rFonts w:hint="eastAsia"/>
                <w:b/>
                <w:color w:val="000000"/>
                <w:sz w:val="21"/>
                <w:szCs w:val="21"/>
                <w:lang w:val="en-US" w:bidi="ar"/>
              </w:rPr>
              <w:t>综合部分（20分）</w:t>
            </w:r>
          </w:p>
        </w:tc>
        <w:tc>
          <w:tcPr>
            <w:tcW w:w="1072" w:type="dxa"/>
            <w:tcBorders>
              <w:tl2br w:val="nil"/>
              <w:tr2bl w:val="nil"/>
            </w:tcBorders>
            <w:tcMar>
              <w:top w:w="15" w:type="dxa"/>
              <w:left w:w="15" w:type="dxa"/>
              <w:right w:w="15" w:type="dxa"/>
            </w:tcMar>
            <w:vAlign w:val="center"/>
          </w:tcPr>
          <w:p>
            <w:pPr>
              <w:widowControl/>
              <w:jc w:val="center"/>
              <w:textAlignment w:val="center"/>
              <w:rPr>
                <w:color w:val="000000"/>
                <w:sz w:val="21"/>
                <w:szCs w:val="21"/>
              </w:rPr>
            </w:pPr>
            <w:r>
              <w:rPr>
                <w:rFonts w:hint="eastAsia"/>
                <w:color w:val="000000"/>
                <w:sz w:val="21"/>
                <w:szCs w:val="21"/>
                <w:lang w:val="en-US" w:bidi="ar"/>
              </w:rPr>
              <w:t>投标人的代理业绩（6分）</w:t>
            </w:r>
          </w:p>
        </w:tc>
        <w:tc>
          <w:tcPr>
            <w:tcW w:w="742" w:type="dxa"/>
            <w:tcBorders>
              <w:tl2br w:val="nil"/>
              <w:tr2bl w:val="nil"/>
            </w:tcBorders>
            <w:tcMar>
              <w:top w:w="15" w:type="dxa"/>
              <w:left w:w="15" w:type="dxa"/>
              <w:right w:w="15" w:type="dxa"/>
            </w:tcMar>
            <w:vAlign w:val="center"/>
          </w:tcPr>
          <w:p>
            <w:pPr>
              <w:jc w:val="center"/>
              <w:rPr>
                <w:sz w:val="20"/>
                <w:szCs w:val="20"/>
              </w:rPr>
            </w:pPr>
          </w:p>
        </w:tc>
        <w:tc>
          <w:tcPr>
            <w:tcW w:w="920" w:type="dxa"/>
            <w:vMerge w:val="restart"/>
            <w:tcBorders>
              <w:tl2br w:val="nil"/>
              <w:tr2bl w:val="nil"/>
            </w:tcBorders>
            <w:tcMar>
              <w:top w:w="15" w:type="dxa"/>
              <w:left w:w="15" w:type="dxa"/>
              <w:right w:w="15" w:type="dxa"/>
            </w:tcMar>
            <w:vAlign w:val="center"/>
          </w:tcPr>
          <w:p>
            <w:pPr>
              <w:jc w:val="center"/>
              <w:rPr>
                <w:color w:val="000000"/>
                <w:sz w:val="21"/>
                <w:szCs w:val="21"/>
              </w:rPr>
            </w:pPr>
          </w:p>
        </w:tc>
        <w:tc>
          <w:tcPr>
            <w:tcW w:w="6125" w:type="dxa"/>
            <w:tcBorders>
              <w:tl2br w:val="nil"/>
              <w:tr2bl w:val="nil"/>
            </w:tcBorders>
            <w:tcMar>
              <w:top w:w="15" w:type="dxa"/>
              <w:left w:w="15" w:type="dxa"/>
              <w:right w:w="15" w:type="dxa"/>
            </w:tcMar>
          </w:tcPr>
          <w:p>
            <w:pPr>
              <w:widowControl/>
              <w:textAlignment w:val="top"/>
              <w:rPr>
                <w:color w:val="000000"/>
                <w:sz w:val="21"/>
                <w:szCs w:val="21"/>
              </w:rPr>
            </w:pPr>
            <w:r>
              <w:rPr>
                <w:rFonts w:hint="eastAsia"/>
                <w:color w:val="000000"/>
                <w:sz w:val="21"/>
                <w:szCs w:val="21"/>
                <w:lang w:val="en-US" w:bidi="ar"/>
              </w:rPr>
              <w:t>1、投标人在</w:t>
            </w:r>
            <w:r>
              <w:rPr>
                <w:rFonts w:hint="eastAsia"/>
                <w:color w:val="000000"/>
                <w:sz w:val="21"/>
                <w:szCs w:val="21"/>
                <w:lang w:val="en-US" w:eastAsia="zh-CN" w:bidi="ar"/>
              </w:rPr>
              <w:t>宣城市区</w:t>
            </w:r>
            <w:r>
              <w:rPr>
                <w:rFonts w:hint="eastAsia"/>
                <w:color w:val="000000"/>
                <w:sz w:val="21"/>
                <w:szCs w:val="21"/>
                <w:lang w:val="en-US" w:bidi="ar"/>
              </w:rPr>
              <w:t>及周边县城有代理项目得3分;</w:t>
            </w:r>
            <w:r>
              <w:rPr>
                <w:rFonts w:hint="eastAsia"/>
                <w:color w:val="000000"/>
                <w:sz w:val="21"/>
                <w:szCs w:val="21"/>
                <w:lang w:val="en-US" w:bidi="ar"/>
              </w:rPr>
              <w:br w:type="textWrapping"/>
            </w:r>
            <w:r>
              <w:rPr>
                <w:rFonts w:hint="eastAsia"/>
                <w:color w:val="000000"/>
                <w:sz w:val="21"/>
                <w:szCs w:val="21"/>
                <w:lang w:val="en-US" w:bidi="ar"/>
              </w:rPr>
              <w:t>2、近三年代理累计项目达30万平方的项目得1分，累计代理面积每增加10万平方米项目得1分，最高得3分。</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1061" w:hRule="atLeast"/>
        </w:trPr>
        <w:tc>
          <w:tcPr>
            <w:tcW w:w="1061" w:type="dxa"/>
            <w:vMerge w:val="continue"/>
            <w:tcBorders>
              <w:tl2br w:val="nil"/>
              <w:tr2bl w:val="nil"/>
            </w:tcBorders>
            <w:tcMar>
              <w:top w:w="15" w:type="dxa"/>
              <w:left w:w="15" w:type="dxa"/>
              <w:right w:w="15" w:type="dxa"/>
            </w:tcMar>
            <w:vAlign w:val="center"/>
          </w:tcPr>
          <w:p>
            <w:pPr>
              <w:jc w:val="center"/>
              <w:rPr>
                <w:b/>
                <w:color w:val="000000"/>
                <w:sz w:val="21"/>
                <w:szCs w:val="21"/>
              </w:rPr>
            </w:pPr>
          </w:p>
        </w:tc>
        <w:tc>
          <w:tcPr>
            <w:tcW w:w="1072" w:type="dxa"/>
            <w:tcBorders>
              <w:tl2br w:val="nil"/>
              <w:tr2bl w:val="nil"/>
            </w:tcBorders>
            <w:tcMar>
              <w:top w:w="15" w:type="dxa"/>
              <w:left w:w="15" w:type="dxa"/>
              <w:right w:w="15" w:type="dxa"/>
            </w:tcMar>
            <w:vAlign w:val="center"/>
          </w:tcPr>
          <w:p>
            <w:pPr>
              <w:widowControl/>
              <w:jc w:val="center"/>
              <w:textAlignment w:val="center"/>
              <w:rPr>
                <w:color w:val="000000"/>
                <w:sz w:val="21"/>
                <w:szCs w:val="21"/>
              </w:rPr>
            </w:pPr>
            <w:r>
              <w:rPr>
                <w:rFonts w:hint="eastAsia"/>
                <w:color w:val="000000"/>
                <w:sz w:val="21"/>
                <w:szCs w:val="21"/>
                <w:lang w:val="en-US" w:bidi="ar"/>
              </w:rPr>
              <w:t>投标人的管理机制（5分）</w:t>
            </w:r>
          </w:p>
        </w:tc>
        <w:tc>
          <w:tcPr>
            <w:tcW w:w="742" w:type="dxa"/>
            <w:tcBorders>
              <w:tl2br w:val="nil"/>
              <w:tr2bl w:val="nil"/>
            </w:tcBorders>
            <w:tcMar>
              <w:top w:w="15" w:type="dxa"/>
              <w:left w:w="15" w:type="dxa"/>
              <w:right w:w="15" w:type="dxa"/>
            </w:tcMar>
            <w:vAlign w:val="center"/>
          </w:tcPr>
          <w:p>
            <w:pPr>
              <w:jc w:val="center"/>
              <w:rPr>
                <w:sz w:val="20"/>
                <w:szCs w:val="20"/>
              </w:rPr>
            </w:pPr>
          </w:p>
        </w:tc>
        <w:tc>
          <w:tcPr>
            <w:tcW w:w="920" w:type="dxa"/>
            <w:vMerge w:val="continue"/>
            <w:tcBorders>
              <w:tl2br w:val="nil"/>
              <w:tr2bl w:val="nil"/>
            </w:tcBorders>
            <w:tcMar>
              <w:top w:w="15" w:type="dxa"/>
              <w:left w:w="15" w:type="dxa"/>
              <w:right w:w="15" w:type="dxa"/>
            </w:tcMar>
            <w:vAlign w:val="center"/>
          </w:tcPr>
          <w:p>
            <w:pPr>
              <w:jc w:val="center"/>
              <w:rPr>
                <w:color w:val="000000"/>
                <w:sz w:val="21"/>
                <w:szCs w:val="21"/>
              </w:rPr>
            </w:pPr>
          </w:p>
        </w:tc>
        <w:tc>
          <w:tcPr>
            <w:tcW w:w="6125" w:type="dxa"/>
            <w:tcBorders>
              <w:tl2br w:val="nil"/>
              <w:tr2bl w:val="nil"/>
            </w:tcBorders>
            <w:tcMar>
              <w:top w:w="15" w:type="dxa"/>
              <w:left w:w="15" w:type="dxa"/>
              <w:right w:w="15" w:type="dxa"/>
            </w:tcMar>
          </w:tcPr>
          <w:p>
            <w:pPr>
              <w:widowControl/>
              <w:textAlignment w:val="top"/>
              <w:rPr>
                <w:color w:val="000000"/>
                <w:sz w:val="21"/>
                <w:szCs w:val="21"/>
              </w:rPr>
            </w:pPr>
            <w:r>
              <w:rPr>
                <w:rFonts w:hint="eastAsia"/>
                <w:color w:val="000000"/>
                <w:sz w:val="21"/>
                <w:szCs w:val="21"/>
                <w:lang w:val="en-US" w:bidi="ar"/>
              </w:rPr>
              <w:t>1、简要说明投标人的管理机制得2.5分；</w:t>
            </w:r>
            <w:r>
              <w:rPr>
                <w:rFonts w:hint="eastAsia"/>
                <w:color w:val="000000"/>
                <w:sz w:val="21"/>
                <w:szCs w:val="21"/>
                <w:lang w:val="en-US" w:bidi="ar"/>
              </w:rPr>
              <w:br w:type="textWrapping"/>
            </w:r>
            <w:r>
              <w:rPr>
                <w:rFonts w:hint="eastAsia"/>
                <w:color w:val="000000"/>
                <w:sz w:val="21"/>
                <w:szCs w:val="21"/>
                <w:lang w:val="en-US" w:bidi="ar"/>
              </w:rPr>
              <w:t>2、管理机制适应我司情况得1.5分；</w:t>
            </w:r>
            <w:r>
              <w:rPr>
                <w:rFonts w:hint="eastAsia"/>
                <w:color w:val="000000"/>
                <w:sz w:val="21"/>
                <w:szCs w:val="21"/>
                <w:lang w:val="en-US" w:bidi="ar"/>
              </w:rPr>
              <w:br w:type="textWrapping"/>
            </w:r>
            <w:r>
              <w:rPr>
                <w:rFonts w:hint="eastAsia"/>
                <w:color w:val="000000"/>
                <w:sz w:val="21"/>
                <w:szCs w:val="21"/>
                <w:lang w:val="en-US" w:bidi="ar"/>
              </w:rPr>
              <w:t>3、机制高效得1分。</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1249" w:hRule="atLeast"/>
        </w:trPr>
        <w:tc>
          <w:tcPr>
            <w:tcW w:w="1061" w:type="dxa"/>
            <w:vMerge w:val="continue"/>
            <w:tcBorders>
              <w:tl2br w:val="nil"/>
              <w:tr2bl w:val="nil"/>
            </w:tcBorders>
            <w:tcMar>
              <w:top w:w="15" w:type="dxa"/>
              <w:left w:w="15" w:type="dxa"/>
              <w:right w:w="15" w:type="dxa"/>
            </w:tcMar>
            <w:vAlign w:val="center"/>
          </w:tcPr>
          <w:p>
            <w:pPr>
              <w:jc w:val="center"/>
              <w:rPr>
                <w:b/>
                <w:color w:val="000000"/>
                <w:sz w:val="21"/>
                <w:szCs w:val="21"/>
              </w:rPr>
            </w:pPr>
          </w:p>
        </w:tc>
        <w:tc>
          <w:tcPr>
            <w:tcW w:w="1072" w:type="dxa"/>
            <w:tcBorders>
              <w:tl2br w:val="nil"/>
              <w:tr2bl w:val="nil"/>
            </w:tcBorders>
            <w:tcMar>
              <w:top w:w="15" w:type="dxa"/>
              <w:left w:w="15" w:type="dxa"/>
              <w:right w:w="15" w:type="dxa"/>
            </w:tcMar>
            <w:vAlign w:val="center"/>
          </w:tcPr>
          <w:p>
            <w:pPr>
              <w:widowControl/>
              <w:jc w:val="center"/>
              <w:textAlignment w:val="center"/>
              <w:rPr>
                <w:color w:val="000000"/>
                <w:sz w:val="21"/>
                <w:szCs w:val="21"/>
                <w:lang w:val="en-US" w:bidi="ar"/>
              </w:rPr>
            </w:pPr>
            <w:r>
              <w:rPr>
                <w:rFonts w:hint="eastAsia"/>
                <w:color w:val="000000"/>
                <w:sz w:val="21"/>
                <w:szCs w:val="21"/>
                <w:lang w:val="en-US" w:bidi="ar"/>
              </w:rPr>
              <w:t>项目团队的资格</w:t>
            </w:r>
          </w:p>
          <w:p>
            <w:pPr>
              <w:widowControl/>
              <w:jc w:val="center"/>
              <w:textAlignment w:val="center"/>
              <w:rPr>
                <w:color w:val="000000"/>
                <w:sz w:val="21"/>
                <w:szCs w:val="21"/>
              </w:rPr>
            </w:pPr>
            <w:r>
              <w:rPr>
                <w:rFonts w:hint="eastAsia"/>
                <w:color w:val="000000"/>
                <w:sz w:val="21"/>
                <w:szCs w:val="21"/>
                <w:lang w:val="en-US" w:bidi="ar"/>
              </w:rPr>
              <w:t>（9分）</w:t>
            </w:r>
          </w:p>
        </w:tc>
        <w:tc>
          <w:tcPr>
            <w:tcW w:w="742" w:type="dxa"/>
            <w:tcBorders>
              <w:tl2br w:val="nil"/>
              <w:tr2bl w:val="nil"/>
            </w:tcBorders>
            <w:tcMar>
              <w:top w:w="15" w:type="dxa"/>
              <w:left w:w="15" w:type="dxa"/>
              <w:right w:w="15" w:type="dxa"/>
            </w:tcMar>
            <w:vAlign w:val="center"/>
          </w:tcPr>
          <w:p>
            <w:pPr>
              <w:jc w:val="center"/>
              <w:rPr>
                <w:sz w:val="20"/>
                <w:szCs w:val="20"/>
              </w:rPr>
            </w:pPr>
          </w:p>
        </w:tc>
        <w:tc>
          <w:tcPr>
            <w:tcW w:w="920" w:type="dxa"/>
            <w:vMerge w:val="continue"/>
            <w:tcBorders>
              <w:tl2br w:val="nil"/>
              <w:tr2bl w:val="nil"/>
            </w:tcBorders>
            <w:tcMar>
              <w:top w:w="15" w:type="dxa"/>
              <w:left w:w="15" w:type="dxa"/>
              <w:right w:w="15" w:type="dxa"/>
            </w:tcMar>
            <w:vAlign w:val="center"/>
          </w:tcPr>
          <w:p>
            <w:pPr>
              <w:jc w:val="center"/>
              <w:rPr>
                <w:color w:val="000000"/>
                <w:sz w:val="21"/>
                <w:szCs w:val="21"/>
              </w:rPr>
            </w:pPr>
          </w:p>
        </w:tc>
        <w:tc>
          <w:tcPr>
            <w:tcW w:w="6125" w:type="dxa"/>
            <w:tcBorders>
              <w:tl2br w:val="nil"/>
              <w:tr2bl w:val="nil"/>
            </w:tcBorders>
            <w:tcMar>
              <w:top w:w="15" w:type="dxa"/>
              <w:left w:w="15" w:type="dxa"/>
              <w:right w:w="15" w:type="dxa"/>
            </w:tcMar>
          </w:tcPr>
          <w:p>
            <w:pPr>
              <w:widowControl/>
              <w:numPr>
                <w:ilvl w:val="0"/>
                <w:numId w:val="0"/>
              </w:numPr>
              <w:textAlignment w:val="top"/>
              <w:rPr>
                <w:rFonts w:hint="eastAsia" w:eastAsia="宋体"/>
                <w:color w:val="000000"/>
                <w:sz w:val="21"/>
                <w:szCs w:val="21"/>
                <w:lang w:eastAsia="zh-CN"/>
              </w:rPr>
            </w:pPr>
            <w:r>
              <w:rPr>
                <w:rFonts w:hint="eastAsia"/>
                <w:color w:val="000000"/>
                <w:sz w:val="21"/>
                <w:szCs w:val="21"/>
                <w:lang w:val="en-US" w:eastAsia="zh-CN" w:bidi="ar"/>
              </w:rPr>
              <w:t>1、</w:t>
            </w:r>
            <w:r>
              <w:rPr>
                <w:rFonts w:hint="eastAsia"/>
                <w:color w:val="000000"/>
                <w:sz w:val="21"/>
                <w:szCs w:val="21"/>
                <w:lang w:val="en-US" w:bidi="ar"/>
              </w:rPr>
              <w:t>项目经理、销售经理二个岗位满分分别为</w:t>
            </w:r>
            <w:r>
              <w:rPr>
                <w:rFonts w:hint="eastAsia"/>
                <w:color w:val="000000"/>
                <w:sz w:val="21"/>
                <w:szCs w:val="21"/>
                <w:lang w:val="en-US" w:eastAsia="zh-CN" w:bidi="ar"/>
              </w:rPr>
              <w:t>1.5</w:t>
            </w:r>
            <w:bookmarkStart w:id="40" w:name="_GoBack"/>
            <w:bookmarkEnd w:id="40"/>
            <w:r>
              <w:rPr>
                <w:rFonts w:hint="eastAsia"/>
                <w:color w:val="000000"/>
                <w:sz w:val="21"/>
                <w:szCs w:val="21"/>
                <w:lang w:val="en-US" w:bidi="ar"/>
              </w:rPr>
              <w:t>分；</w:t>
            </w:r>
            <w:r>
              <w:rPr>
                <w:rFonts w:hint="eastAsia"/>
                <w:color w:val="000000"/>
                <w:sz w:val="21"/>
                <w:szCs w:val="21"/>
                <w:lang w:val="en-US" w:bidi="ar"/>
              </w:rPr>
              <w:br w:type="textWrapping"/>
            </w:r>
            <w:r>
              <w:rPr>
                <w:rFonts w:hint="eastAsia"/>
                <w:color w:val="000000"/>
                <w:sz w:val="21"/>
                <w:szCs w:val="21"/>
                <w:lang w:val="en-US" w:eastAsia="zh-CN" w:bidi="ar"/>
              </w:rPr>
              <w:t>2</w:t>
            </w:r>
            <w:r>
              <w:rPr>
                <w:rFonts w:hint="eastAsia"/>
                <w:color w:val="000000"/>
                <w:sz w:val="21"/>
                <w:szCs w:val="21"/>
                <w:lang w:val="en-US" w:bidi="ar"/>
              </w:rPr>
              <w:t>、</w:t>
            </w:r>
            <w:r>
              <w:rPr>
                <w:rFonts w:hint="eastAsia"/>
                <w:color w:val="000000"/>
                <w:sz w:val="21"/>
                <w:szCs w:val="21"/>
                <w:lang w:val="en-US" w:eastAsia="zh-CN" w:bidi="ar"/>
              </w:rPr>
              <w:t>置业顾问部分有</w:t>
            </w:r>
            <w:r>
              <w:rPr>
                <w:rFonts w:hint="eastAsia"/>
                <w:color w:val="000000"/>
                <w:sz w:val="21"/>
                <w:szCs w:val="21"/>
                <w:lang w:val="en-US" w:bidi="ar"/>
              </w:rPr>
              <w:t>岗位经验</w:t>
            </w:r>
            <w:r>
              <w:rPr>
                <w:rFonts w:hint="eastAsia"/>
                <w:color w:val="000000"/>
                <w:sz w:val="21"/>
                <w:szCs w:val="21"/>
                <w:lang w:val="en-US" w:eastAsia="zh-CN" w:bidi="ar"/>
              </w:rPr>
              <w:t>得1分，全</w:t>
            </w:r>
            <w:r>
              <w:rPr>
                <w:rFonts w:hint="eastAsia"/>
                <w:color w:val="000000"/>
                <w:sz w:val="21"/>
                <w:szCs w:val="21"/>
                <w:lang w:val="en-US" w:bidi="ar"/>
              </w:rPr>
              <w:t>有得</w:t>
            </w:r>
            <w:r>
              <w:rPr>
                <w:rFonts w:hint="eastAsia"/>
                <w:color w:val="000000"/>
                <w:sz w:val="21"/>
                <w:szCs w:val="21"/>
                <w:lang w:val="en-US" w:eastAsia="zh-CN" w:bidi="ar"/>
              </w:rPr>
              <w:t>2</w:t>
            </w:r>
            <w:r>
              <w:rPr>
                <w:rFonts w:hint="eastAsia"/>
                <w:color w:val="000000"/>
                <w:sz w:val="21"/>
                <w:szCs w:val="21"/>
                <w:lang w:val="en-US" w:bidi="ar"/>
              </w:rPr>
              <w:t>分</w:t>
            </w:r>
            <w:r>
              <w:rPr>
                <w:rFonts w:hint="eastAsia"/>
                <w:color w:val="000000"/>
                <w:sz w:val="21"/>
                <w:szCs w:val="21"/>
                <w:lang w:val="en-US" w:eastAsia="zh-CN" w:bidi="ar"/>
              </w:rPr>
              <w:t>；</w:t>
            </w:r>
          </w:p>
          <w:p>
            <w:pPr>
              <w:widowControl/>
              <w:textAlignment w:val="top"/>
              <w:rPr>
                <w:color w:val="000000"/>
                <w:sz w:val="21"/>
                <w:szCs w:val="21"/>
                <w:lang w:val="en-US"/>
              </w:rPr>
            </w:pPr>
            <w:r>
              <w:rPr>
                <w:rFonts w:hint="eastAsia"/>
                <w:color w:val="000000"/>
                <w:sz w:val="21"/>
                <w:szCs w:val="21"/>
                <w:lang w:val="en-US" w:eastAsia="zh-CN"/>
              </w:rPr>
              <w:t>3</w:t>
            </w:r>
            <w:r>
              <w:rPr>
                <w:rFonts w:hint="eastAsia"/>
                <w:color w:val="000000"/>
                <w:sz w:val="21"/>
                <w:szCs w:val="21"/>
                <w:lang w:val="en-US"/>
              </w:rPr>
              <w:t>、常驻人员</w:t>
            </w:r>
            <w:r>
              <w:rPr>
                <w:rFonts w:hint="eastAsia"/>
                <w:color w:val="000000"/>
                <w:sz w:val="21"/>
                <w:szCs w:val="21"/>
                <w:lang w:val="en-US" w:eastAsia="zh-CN"/>
              </w:rPr>
              <w:t>8</w:t>
            </w:r>
            <w:r>
              <w:rPr>
                <w:rFonts w:hint="eastAsia"/>
                <w:color w:val="000000"/>
                <w:sz w:val="21"/>
                <w:szCs w:val="21"/>
                <w:lang w:val="en-US"/>
              </w:rPr>
              <w:t>人的2分，</w:t>
            </w:r>
            <w:r>
              <w:rPr>
                <w:rFonts w:hint="eastAsia"/>
                <w:color w:val="000000"/>
                <w:sz w:val="21"/>
                <w:szCs w:val="21"/>
                <w:lang w:val="en-US" w:eastAsia="zh-CN"/>
              </w:rPr>
              <w:t>8</w:t>
            </w:r>
            <w:r>
              <w:rPr>
                <w:rFonts w:hint="eastAsia"/>
                <w:color w:val="000000"/>
                <w:sz w:val="21"/>
                <w:szCs w:val="21"/>
                <w:lang w:val="en-US"/>
              </w:rPr>
              <w:t>人以上多一名多得0.5分，最多得</w:t>
            </w:r>
            <w:r>
              <w:rPr>
                <w:rFonts w:hint="eastAsia"/>
                <w:color w:val="000000"/>
                <w:sz w:val="21"/>
                <w:szCs w:val="21"/>
                <w:lang w:val="en-US" w:eastAsia="zh-CN"/>
              </w:rPr>
              <w:t>4</w:t>
            </w:r>
            <w:r>
              <w:rPr>
                <w:rFonts w:hint="eastAsia"/>
                <w:color w:val="000000"/>
                <w:sz w:val="21"/>
                <w:szCs w:val="21"/>
                <w:lang w:val="en-US"/>
              </w:rPr>
              <w:t>分。</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1070" w:hRule="atLeast"/>
        </w:trPr>
        <w:tc>
          <w:tcPr>
            <w:tcW w:w="1061" w:type="dxa"/>
            <w:vMerge w:val="restart"/>
            <w:tcBorders>
              <w:tl2br w:val="nil"/>
              <w:tr2bl w:val="nil"/>
            </w:tcBorders>
            <w:tcMar>
              <w:top w:w="15" w:type="dxa"/>
              <w:left w:w="15" w:type="dxa"/>
              <w:right w:w="15" w:type="dxa"/>
            </w:tcMar>
            <w:vAlign w:val="center"/>
          </w:tcPr>
          <w:p>
            <w:pPr>
              <w:widowControl/>
              <w:jc w:val="center"/>
              <w:textAlignment w:val="center"/>
              <w:rPr>
                <w:b/>
                <w:color w:val="000000"/>
                <w:sz w:val="21"/>
                <w:szCs w:val="21"/>
              </w:rPr>
            </w:pPr>
            <w:r>
              <w:rPr>
                <w:rFonts w:hint="eastAsia"/>
                <w:b/>
                <w:color w:val="000000"/>
                <w:sz w:val="21"/>
                <w:szCs w:val="21"/>
                <w:lang w:val="en-US" w:bidi="ar"/>
              </w:rPr>
              <w:t>技术部分（50分）</w:t>
            </w:r>
          </w:p>
        </w:tc>
        <w:tc>
          <w:tcPr>
            <w:tcW w:w="1072" w:type="dxa"/>
            <w:tcBorders>
              <w:tl2br w:val="nil"/>
              <w:tr2bl w:val="nil"/>
            </w:tcBorders>
            <w:tcMar>
              <w:top w:w="15" w:type="dxa"/>
              <w:left w:w="15" w:type="dxa"/>
              <w:right w:w="15" w:type="dxa"/>
            </w:tcMar>
            <w:vAlign w:val="center"/>
          </w:tcPr>
          <w:p>
            <w:pPr>
              <w:widowControl/>
              <w:jc w:val="center"/>
              <w:textAlignment w:val="center"/>
              <w:rPr>
                <w:color w:val="000000"/>
                <w:sz w:val="21"/>
                <w:szCs w:val="21"/>
                <w:lang w:val="en-US" w:bidi="ar"/>
              </w:rPr>
            </w:pPr>
            <w:r>
              <w:rPr>
                <w:rFonts w:hint="eastAsia"/>
                <w:color w:val="000000"/>
                <w:sz w:val="21"/>
                <w:szCs w:val="21"/>
                <w:lang w:val="en-US" w:bidi="ar"/>
              </w:rPr>
              <w:t>市场及政策研究</w:t>
            </w:r>
          </w:p>
          <w:p>
            <w:pPr>
              <w:widowControl/>
              <w:jc w:val="center"/>
              <w:textAlignment w:val="center"/>
              <w:rPr>
                <w:color w:val="000000"/>
                <w:sz w:val="21"/>
                <w:szCs w:val="21"/>
              </w:rPr>
            </w:pPr>
            <w:r>
              <w:rPr>
                <w:rFonts w:hint="eastAsia"/>
                <w:color w:val="000000"/>
                <w:sz w:val="21"/>
                <w:szCs w:val="21"/>
                <w:lang w:val="en-US" w:bidi="ar"/>
              </w:rPr>
              <w:t>（6分）</w:t>
            </w:r>
          </w:p>
        </w:tc>
        <w:tc>
          <w:tcPr>
            <w:tcW w:w="742" w:type="dxa"/>
            <w:tcBorders>
              <w:tl2br w:val="nil"/>
              <w:tr2bl w:val="nil"/>
            </w:tcBorders>
            <w:tcMar>
              <w:top w:w="15" w:type="dxa"/>
              <w:left w:w="15" w:type="dxa"/>
              <w:right w:w="15" w:type="dxa"/>
            </w:tcMar>
            <w:vAlign w:val="center"/>
          </w:tcPr>
          <w:p>
            <w:pPr>
              <w:jc w:val="center"/>
              <w:rPr>
                <w:sz w:val="20"/>
                <w:szCs w:val="20"/>
              </w:rPr>
            </w:pPr>
          </w:p>
        </w:tc>
        <w:tc>
          <w:tcPr>
            <w:tcW w:w="920" w:type="dxa"/>
            <w:vMerge w:val="restart"/>
            <w:tcBorders>
              <w:tl2br w:val="nil"/>
              <w:tr2bl w:val="nil"/>
            </w:tcBorders>
            <w:tcMar>
              <w:top w:w="15" w:type="dxa"/>
              <w:left w:w="15" w:type="dxa"/>
              <w:right w:w="15" w:type="dxa"/>
            </w:tcMar>
            <w:vAlign w:val="center"/>
          </w:tcPr>
          <w:p>
            <w:pPr>
              <w:jc w:val="center"/>
              <w:rPr>
                <w:color w:val="000000"/>
                <w:sz w:val="21"/>
                <w:szCs w:val="21"/>
              </w:rPr>
            </w:pPr>
          </w:p>
        </w:tc>
        <w:tc>
          <w:tcPr>
            <w:tcW w:w="6125" w:type="dxa"/>
            <w:tcBorders>
              <w:tl2br w:val="nil"/>
              <w:tr2bl w:val="nil"/>
            </w:tcBorders>
            <w:tcMar>
              <w:top w:w="15" w:type="dxa"/>
              <w:left w:w="15" w:type="dxa"/>
              <w:right w:w="15" w:type="dxa"/>
            </w:tcMar>
          </w:tcPr>
          <w:p>
            <w:pPr>
              <w:widowControl/>
              <w:textAlignment w:val="top"/>
              <w:rPr>
                <w:color w:val="000000"/>
                <w:sz w:val="21"/>
                <w:szCs w:val="21"/>
              </w:rPr>
            </w:pPr>
            <w:r>
              <w:rPr>
                <w:rFonts w:hint="eastAsia"/>
                <w:color w:val="000000"/>
                <w:sz w:val="21"/>
                <w:szCs w:val="21"/>
                <w:lang w:val="en-US" w:bidi="ar"/>
              </w:rPr>
              <w:t>1、对</w:t>
            </w:r>
            <w:r>
              <w:rPr>
                <w:rFonts w:hint="eastAsia"/>
                <w:color w:val="000000"/>
                <w:sz w:val="21"/>
                <w:szCs w:val="21"/>
                <w:lang w:val="en-US" w:eastAsia="zh-CN" w:bidi="ar"/>
              </w:rPr>
              <w:t>宣城市区</w:t>
            </w:r>
            <w:r>
              <w:rPr>
                <w:rFonts w:hint="eastAsia"/>
                <w:color w:val="000000"/>
                <w:sz w:val="21"/>
                <w:szCs w:val="21"/>
                <w:lang w:val="en-US" w:bidi="ar"/>
              </w:rPr>
              <w:t>市场调研数据完整真实性，包括大部分周边竞品楼盘和</w:t>
            </w:r>
            <w:r>
              <w:rPr>
                <w:rFonts w:hint="eastAsia"/>
                <w:color w:val="000000"/>
                <w:sz w:val="21"/>
                <w:szCs w:val="21"/>
                <w:lang w:val="en-US" w:eastAsia="zh-CN" w:bidi="ar"/>
              </w:rPr>
              <w:t>宣城市区</w:t>
            </w:r>
            <w:r>
              <w:rPr>
                <w:rFonts w:hint="eastAsia"/>
                <w:color w:val="000000"/>
                <w:sz w:val="21"/>
                <w:szCs w:val="21"/>
                <w:lang w:val="en-US" w:bidi="ar"/>
              </w:rPr>
              <w:t>近期开盘楼盘的得满分；</w:t>
            </w:r>
            <w:r>
              <w:rPr>
                <w:rFonts w:hint="eastAsia"/>
                <w:color w:val="000000"/>
                <w:sz w:val="21"/>
                <w:szCs w:val="21"/>
                <w:lang w:val="en-US" w:bidi="ar"/>
              </w:rPr>
              <w:br w:type="textWrapping"/>
            </w:r>
            <w:r>
              <w:rPr>
                <w:rFonts w:hint="eastAsia"/>
                <w:color w:val="000000"/>
                <w:sz w:val="21"/>
                <w:szCs w:val="21"/>
                <w:lang w:val="en-US" w:bidi="ar"/>
              </w:rPr>
              <w:t xml:space="preserve">2、没有近期开盘楼盘或没有竞品楼盘调研的不得分。                                           </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1061" w:hRule="atLeast"/>
        </w:trPr>
        <w:tc>
          <w:tcPr>
            <w:tcW w:w="1061" w:type="dxa"/>
            <w:vMerge w:val="continue"/>
            <w:tcBorders>
              <w:tl2br w:val="nil"/>
              <w:tr2bl w:val="nil"/>
            </w:tcBorders>
            <w:tcMar>
              <w:top w:w="15" w:type="dxa"/>
              <w:left w:w="15" w:type="dxa"/>
              <w:right w:w="15" w:type="dxa"/>
            </w:tcMar>
            <w:vAlign w:val="center"/>
          </w:tcPr>
          <w:p>
            <w:pPr>
              <w:jc w:val="center"/>
              <w:rPr>
                <w:b/>
                <w:color w:val="000000"/>
                <w:sz w:val="21"/>
                <w:szCs w:val="21"/>
              </w:rPr>
            </w:pPr>
          </w:p>
        </w:tc>
        <w:tc>
          <w:tcPr>
            <w:tcW w:w="1072" w:type="dxa"/>
            <w:tcBorders>
              <w:tl2br w:val="nil"/>
              <w:tr2bl w:val="nil"/>
            </w:tcBorders>
            <w:tcMar>
              <w:top w:w="15" w:type="dxa"/>
              <w:left w:w="15" w:type="dxa"/>
              <w:right w:w="15" w:type="dxa"/>
            </w:tcMar>
            <w:vAlign w:val="center"/>
          </w:tcPr>
          <w:p>
            <w:pPr>
              <w:widowControl/>
              <w:jc w:val="center"/>
              <w:textAlignment w:val="center"/>
              <w:rPr>
                <w:color w:val="000000"/>
                <w:sz w:val="21"/>
                <w:szCs w:val="21"/>
              </w:rPr>
            </w:pPr>
            <w:r>
              <w:rPr>
                <w:rFonts w:hint="eastAsia"/>
                <w:color w:val="000000"/>
                <w:sz w:val="21"/>
                <w:szCs w:val="21"/>
                <w:lang w:val="en-US" w:bidi="ar"/>
              </w:rPr>
              <w:t>项目定位及分析（19分）</w:t>
            </w:r>
          </w:p>
        </w:tc>
        <w:tc>
          <w:tcPr>
            <w:tcW w:w="742" w:type="dxa"/>
            <w:tcBorders>
              <w:tl2br w:val="nil"/>
              <w:tr2bl w:val="nil"/>
            </w:tcBorders>
            <w:tcMar>
              <w:top w:w="15" w:type="dxa"/>
              <w:left w:w="15" w:type="dxa"/>
              <w:right w:w="15" w:type="dxa"/>
            </w:tcMar>
            <w:vAlign w:val="center"/>
          </w:tcPr>
          <w:p>
            <w:pPr>
              <w:jc w:val="center"/>
              <w:rPr>
                <w:sz w:val="20"/>
                <w:szCs w:val="20"/>
              </w:rPr>
            </w:pPr>
          </w:p>
        </w:tc>
        <w:tc>
          <w:tcPr>
            <w:tcW w:w="920" w:type="dxa"/>
            <w:vMerge w:val="continue"/>
            <w:tcBorders>
              <w:tl2br w:val="nil"/>
              <w:tr2bl w:val="nil"/>
            </w:tcBorders>
            <w:tcMar>
              <w:top w:w="15" w:type="dxa"/>
              <w:left w:w="15" w:type="dxa"/>
              <w:right w:w="15" w:type="dxa"/>
            </w:tcMar>
            <w:vAlign w:val="center"/>
          </w:tcPr>
          <w:p>
            <w:pPr>
              <w:jc w:val="center"/>
              <w:rPr>
                <w:color w:val="000000"/>
                <w:sz w:val="21"/>
                <w:szCs w:val="21"/>
              </w:rPr>
            </w:pPr>
          </w:p>
        </w:tc>
        <w:tc>
          <w:tcPr>
            <w:tcW w:w="6125" w:type="dxa"/>
            <w:tcBorders>
              <w:tl2br w:val="nil"/>
              <w:tr2bl w:val="nil"/>
            </w:tcBorders>
            <w:tcMar>
              <w:top w:w="15" w:type="dxa"/>
              <w:left w:w="15" w:type="dxa"/>
              <w:right w:w="15" w:type="dxa"/>
            </w:tcMar>
          </w:tcPr>
          <w:p>
            <w:pPr>
              <w:widowControl/>
              <w:textAlignment w:val="top"/>
              <w:rPr>
                <w:color w:val="000000"/>
                <w:sz w:val="21"/>
                <w:szCs w:val="21"/>
              </w:rPr>
            </w:pPr>
            <w:r>
              <w:rPr>
                <w:rFonts w:hint="eastAsia"/>
                <w:color w:val="000000"/>
                <w:sz w:val="21"/>
                <w:szCs w:val="21"/>
                <w:lang w:val="en-US" w:bidi="ar"/>
              </w:rPr>
              <w:t>1、说明目标客户群体，要求证据充分，符合实际情况，本项8分；</w:t>
            </w:r>
            <w:r>
              <w:rPr>
                <w:rFonts w:hint="eastAsia"/>
                <w:color w:val="000000"/>
                <w:sz w:val="21"/>
                <w:szCs w:val="21"/>
                <w:lang w:val="en-US" w:bidi="ar"/>
              </w:rPr>
              <w:br w:type="textWrapping"/>
            </w:r>
            <w:r>
              <w:rPr>
                <w:rFonts w:hint="eastAsia"/>
                <w:color w:val="000000"/>
                <w:sz w:val="21"/>
                <w:szCs w:val="21"/>
                <w:lang w:val="en-US" w:bidi="ar"/>
              </w:rPr>
              <w:t>2、项目理解、卖点提炼、策划定位，要求分析有理有据，本项6分；</w:t>
            </w:r>
            <w:r>
              <w:rPr>
                <w:rFonts w:hint="eastAsia"/>
                <w:color w:val="000000"/>
                <w:sz w:val="21"/>
                <w:szCs w:val="21"/>
                <w:lang w:val="en-US" w:bidi="ar"/>
              </w:rPr>
              <w:br w:type="textWrapping"/>
            </w:r>
            <w:r>
              <w:rPr>
                <w:rFonts w:hint="eastAsia"/>
                <w:color w:val="000000"/>
                <w:sz w:val="21"/>
                <w:szCs w:val="21"/>
                <w:lang w:val="en-US" w:bidi="ar"/>
              </w:rPr>
              <w:t>3、针对项目提出建议，本项5分；</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1401" w:hRule="atLeast"/>
        </w:trPr>
        <w:tc>
          <w:tcPr>
            <w:tcW w:w="1061" w:type="dxa"/>
            <w:vMerge w:val="continue"/>
            <w:tcBorders>
              <w:tl2br w:val="nil"/>
              <w:tr2bl w:val="nil"/>
            </w:tcBorders>
            <w:tcMar>
              <w:top w:w="15" w:type="dxa"/>
              <w:left w:w="15" w:type="dxa"/>
              <w:right w:w="15" w:type="dxa"/>
            </w:tcMar>
            <w:vAlign w:val="center"/>
          </w:tcPr>
          <w:p>
            <w:pPr>
              <w:jc w:val="center"/>
              <w:rPr>
                <w:b/>
                <w:color w:val="000000"/>
                <w:sz w:val="21"/>
                <w:szCs w:val="21"/>
              </w:rPr>
            </w:pPr>
          </w:p>
        </w:tc>
        <w:tc>
          <w:tcPr>
            <w:tcW w:w="1072" w:type="dxa"/>
            <w:tcBorders>
              <w:tl2br w:val="nil"/>
              <w:tr2bl w:val="nil"/>
            </w:tcBorders>
            <w:tcMar>
              <w:top w:w="15" w:type="dxa"/>
              <w:left w:w="15" w:type="dxa"/>
              <w:right w:w="15" w:type="dxa"/>
            </w:tcMar>
            <w:vAlign w:val="center"/>
          </w:tcPr>
          <w:p>
            <w:pPr>
              <w:widowControl/>
              <w:jc w:val="center"/>
              <w:textAlignment w:val="center"/>
              <w:rPr>
                <w:color w:val="000000"/>
                <w:sz w:val="21"/>
                <w:szCs w:val="21"/>
              </w:rPr>
            </w:pPr>
            <w:r>
              <w:rPr>
                <w:rFonts w:hint="eastAsia"/>
                <w:color w:val="000000"/>
                <w:sz w:val="21"/>
                <w:szCs w:val="21"/>
                <w:lang w:val="en-US" w:bidi="ar"/>
              </w:rPr>
              <w:t>整体推广思路</w:t>
            </w:r>
            <w:r>
              <w:rPr>
                <w:rFonts w:hint="eastAsia"/>
                <w:color w:val="000000"/>
                <w:sz w:val="21"/>
                <w:szCs w:val="21"/>
                <w:lang w:val="en-US" w:bidi="ar"/>
              </w:rPr>
              <w:br w:type="textWrapping"/>
            </w:r>
            <w:r>
              <w:rPr>
                <w:rFonts w:hint="eastAsia"/>
                <w:color w:val="000000"/>
                <w:sz w:val="21"/>
                <w:szCs w:val="21"/>
                <w:lang w:val="en-US" w:bidi="ar"/>
              </w:rPr>
              <w:t>（19分）</w:t>
            </w:r>
          </w:p>
        </w:tc>
        <w:tc>
          <w:tcPr>
            <w:tcW w:w="742" w:type="dxa"/>
            <w:tcBorders>
              <w:tl2br w:val="nil"/>
              <w:tr2bl w:val="nil"/>
            </w:tcBorders>
            <w:tcMar>
              <w:top w:w="15" w:type="dxa"/>
              <w:left w:w="15" w:type="dxa"/>
              <w:right w:w="15" w:type="dxa"/>
            </w:tcMar>
            <w:vAlign w:val="center"/>
          </w:tcPr>
          <w:p>
            <w:pPr>
              <w:jc w:val="center"/>
              <w:rPr>
                <w:sz w:val="20"/>
                <w:szCs w:val="20"/>
              </w:rPr>
            </w:pPr>
          </w:p>
        </w:tc>
        <w:tc>
          <w:tcPr>
            <w:tcW w:w="920" w:type="dxa"/>
            <w:vMerge w:val="continue"/>
            <w:tcBorders>
              <w:tl2br w:val="nil"/>
              <w:tr2bl w:val="nil"/>
            </w:tcBorders>
            <w:tcMar>
              <w:top w:w="15" w:type="dxa"/>
              <w:left w:w="15" w:type="dxa"/>
              <w:right w:w="15" w:type="dxa"/>
            </w:tcMar>
            <w:vAlign w:val="center"/>
          </w:tcPr>
          <w:p>
            <w:pPr>
              <w:jc w:val="center"/>
              <w:rPr>
                <w:color w:val="000000"/>
                <w:sz w:val="21"/>
                <w:szCs w:val="21"/>
              </w:rPr>
            </w:pPr>
          </w:p>
        </w:tc>
        <w:tc>
          <w:tcPr>
            <w:tcW w:w="6125" w:type="dxa"/>
            <w:tcBorders>
              <w:tl2br w:val="nil"/>
              <w:tr2bl w:val="nil"/>
            </w:tcBorders>
            <w:tcMar>
              <w:top w:w="15" w:type="dxa"/>
              <w:left w:w="15" w:type="dxa"/>
              <w:right w:w="15" w:type="dxa"/>
            </w:tcMar>
          </w:tcPr>
          <w:p>
            <w:pPr>
              <w:widowControl/>
              <w:textAlignment w:val="top"/>
              <w:rPr>
                <w:color w:val="000000"/>
                <w:sz w:val="21"/>
                <w:szCs w:val="21"/>
              </w:rPr>
            </w:pPr>
            <w:r>
              <w:rPr>
                <w:rFonts w:hint="eastAsia"/>
                <w:color w:val="000000"/>
                <w:sz w:val="21"/>
                <w:szCs w:val="21"/>
                <w:lang w:val="en-US" w:bidi="ar"/>
              </w:rPr>
              <w:t>1、销售推广策略、推广节点铺排，本项7分；</w:t>
            </w:r>
            <w:r>
              <w:rPr>
                <w:rFonts w:hint="eastAsia"/>
                <w:color w:val="000000"/>
                <w:sz w:val="21"/>
                <w:szCs w:val="21"/>
                <w:lang w:val="en-US" w:bidi="ar"/>
              </w:rPr>
              <w:br w:type="textWrapping"/>
            </w:r>
            <w:r>
              <w:rPr>
                <w:rFonts w:hint="eastAsia"/>
                <w:color w:val="000000"/>
                <w:sz w:val="21"/>
                <w:szCs w:val="21"/>
                <w:lang w:val="en-US" w:bidi="ar"/>
              </w:rPr>
              <w:t>2、项目推售计划（开盘时间、推售节点、去化速度等），本项8分；</w:t>
            </w:r>
            <w:r>
              <w:rPr>
                <w:rFonts w:hint="eastAsia"/>
                <w:color w:val="000000"/>
                <w:sz w:val="21"/>
                <w:szCs w:val="21"/>
                <w:lang w:val="en-US" w:bidi="ar"/>
              </w:rPr>
              <w:br w:type="textWrapping"/>
            </w:r>
            <w:r>
              <w:rPr>
                <w:rFonts w:hint="eastAsia"/>
                <w:color w:val="000000"/>
                <w:sz w:val="21"/>
                <w:szCs w:val="21"/>
                <w:lang w:val="en-US" w:bidi="ar"/>
              </w:rPr>
              <w:t>3、项目价格策略（开盘均价、全盘均价、不同产品均价等），本项4分；</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1061" w:hRule="atLeast"/>
        </w:trPr>
        <w:tc>
          <w:tcPr>
            <w:tcW w:w="1061" w:type="dxa"/>
            <w:vMerge w:val="continue"/>
            <w:tcBorders>
              <w:tl2br w:val="nil"/>
              <w:tr2bl w:val="nil"/>
            </w:tcBorders>
            <w:tcMar>
              <w:top w:w="15" w:type="dxa"/>
              <w:left w:w="15" w:type="dxa"/>
              <w:right w:w="15" w:type="dxa"/>
            </w:tcMar>
            <w:vAlign w:val="center"/>
          </w:tcPr>
          <w:p>
            <w:pPr>
              <w:jc w:val="center"/>
              <w:rPr>
                <w:b/>
                <w:color w:val="000000"/>
                <w:sz w:val="21"/>
                <w:szCs w:val="21"/>
              </w:rPr>
            </w:pPr>
          </w:p>
        </w:tc>
        <w:tc>
          <w:tcPr>
            <w:tcW w:w="1072" w:type="dxa"/>
            <w:tcBorders>
              <w:tl2br w:val="nil"/>
              <w:tr2bl w:val="nil"/>
            </w:tcBorders>
            <w:tcMar>
              <w:top w:w="15" w:type="dxa"/>
              <w:left w:w="15" w:type="dxa"/>
              <w:right w:w="15" w:type="dxa"/>
            </w:tcMar>
            <w:vAlign w:val="center"/>
          </w:tcPr>
          <w:p>
            <w:pPr>
              <w:widowControl/>
              <w:jc w:val="center"/>
              <w:textAlignment w:val="center"/>
              <w:rPr>
                <w:color w:val="000000"/>
                <w:sz w:val="21"/>
                <w:szCs w:val="21"/>
                <w:lang w:val="en-US" w:bidi="ar"/>
              </w:rPr>
            </w:pPr>
            <w:r>
              <w:rPr>
                <w:rFonts w:hint="eastAsia"/>
                <w:color w:val="000000"/>
                <w:sz w:val="21"/>
                <w:szCs w:val="21"/>
                <w:lang w:val="en-US" w:bidi="ar"/>
              </w:rPr>
              <w:t>评标组提问（6分）</w:t>
            </w:r>
          </w:p>
        </w:tc>
        <w:tc>
          <w:tcPr>
            <w:tcW w:w="742" w:type="dxa"/>
            <w:tcBorders>
              <w:tl2br w:val="nil"/>
              <w:tr2bl w:val="nil"/>
            </w:tcBorders>
            <w:tcMar>
              <w:top w:w="15" w:type="dxa"/>
              <w:left w:w="15" w:type="dxa"/>
              <w:right w:w="15" w:type="dxa"/>
            </w:tcMar>
            <w:vAlign w:val="center"/>
          </w:tcPr>
          <w:p>
            <w:pPr>
              <w:jc w:val="center"/>
              <w:rPr>
                <w:sz w:val="20"/>
                <w:szCs w:val="20"/>
              </w:rPr>
            </w:pPr>
          </w:p>
        </w:tc>
        <w:tc>
          <w:tcPr>
            <w:tcW w:w="920" w:type="dxa"/>
            <w:vMerge w:val="continue"/>
            <w:tcBorders>
              <w:tl2br w:val="nil"/>
              <w:tr2bl w:val="nil"/>
            </w:tcBorders>
            <w:tcMar>
              <w:top w:w="15" w:type="dxa"/>
              <w:left w:w="15" w:type="dxa"/>
              <w:right w:w="15" w:type="dxa"/>
            </w:tcMar>
            <w:vAlign w:val="center"/>
          </w:tcPr>
          <w:p>
            <w:pPr>
              <w:jc w:val="center"/>
              <w:rPr>
                <w:color w:val="000000"/>
                <w:sz w:val="21"/>
                <w:szCs w:val="21"/>
              </w:rPr>
            </w:pPr>
          </w:p>
        </w:tc>
        <w:tc>
          <w:tcPr>
            <w:tcW w:w="6125" w:type="dxa"/>
            <w:tcBorders>
              <w:tl2br w:val="nil"/>
              <w:tr2bl w:val="nil"/>
            </w:tcBorders>
            <w:tcMar>
              <w:top w:w="15" w:type="dxa"/>
              <w:left w:w="15" w:type="dxa"/>
              <w:right w:w="15" w:type="dxa"/>
            </w:tcMar>
          </w:tcPr>
          <w:p>
            <w:pPr>
              <w:widowControl/>
              <w:numPr>
                <w:ilvl w:val="0"/>
                <w:numId w:val="6"/>
              </w:numPr>
              <w:textAlignment w:val="top"/>
              <w:rPr>
                <w:color w:val="000000"/>
                <w:sz w:val="21"/>
                <w:szCs w:val="21"/>
                <w:lang w:val="en-US" w:bidi="ar"/>
              </w:rPr>
            </w:pPr>
            <w:r>
              <w:rPr>
                <w:rFonts w:hint="eastAsia"/>
                <w:color w:val="000000"/>
                <w:sz w:val="21"/>
                <w:szCs w:val="21"/>
                <w:lang w:val="en-US" w:bidi="ar"/>
              </w:rPr>
              <w:t>解答语言清晰、思路符合逻辑（2分）</w:t>
            </w:r>
          </w:p>
          <w:p>
            <w:pPr>
              <w:widowControl/>
              <w:numPr>
                <w:ilvl w:val="0"/>
                <w:numId w:val="6"/>
              </w:numPr>
              <w:textAlignment w:val="top"/>
              <w:rPr>
                <w:color w:val="000000"/>
                <w:sz w:val="21"/>
                <w:szCs w:val="21"/>
                <w:lang w:val="en-US" w:bidi="ar"/>
              </w:rPr>
            </w:pPr>
            <w:r>
              <w:rPr>
                <w:rFonts w:hint="eastAsia"/>
                <w:color w:val="000000"/>
                <w:sz w:val="21"/>
                <w:szCs w:val="21"/>
                <w:lang w:val="en-US" w:bidi="ar"/>
              </w:rPr>
              <w:t>策划类问题具有创造性（2分）</w:t>
            </w:r>
          </w:p>
          <w:p>
            <w:pPr>
              <w:widowControl/>
              <w:numPr>
                <w:ilvl w:val="0"/>
                <w:numId w:val="6"/>
              </w:numPr>
              <w:textAlignment w:val="top"/>
              <w:rPr>
                <w:color w:val="000000"/>
                <w:sz w:val="21"/>
                <w:szCs w:val="21"/>
                <w:lang w:val="en-US" w:bidi="ar"/>
              </w:rPr>
            </w:pPr>
            <w:r>
              <w:rPr>
                <w:rFonts w:hint="eastAsia"/>
                <w:color w:val="000000"/>
                <w:sz w:val="21"/>
                <w:szCs w:val="21"/>
                <w:lang w:val="en-US" w:bidi="ar"/>
              </w:rPr>
              <w:t>销售类问题具有突破性（2分）</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1061" w:hRule="atLeast"/>
        </w:trPr>
        <w:tc>
          <w:tcPr>
            <w:tcW w:w="1061" w:type="dxa"/>
            <w:tcBorders>
              <w:tl2br w:val="nil"/>
              <w:tr2bl w:val="nil"/>
            </w:tcBorders>
            <w:tcMar>
              <w:top w:w="15" w:type="dxa"/>
              <w:left w:w="15" w:type="dxa"/>
              <w:right w:w="15" w:type="dxa"/>
            </w:tcMar>
            <w:vAlign w:val="center"/>
          </w:tcPr>
          <w:p>
            <w:pPr>
              <w:widowControl/>
              <w:jc w:val="center"/>
              <w:textAlignment w:val="center"/>
              <w:rPr>
                <w:b/>
                <w:color w:val="000000"/>
                <w:sz w:val="21"/>
                <w:szCs w:val="21"/>
              </w:rPr>
            </w:pPr>
            <w:r>
              <w:rPr>
                <w:rFonts w:hint="eastAsia"/>
                <w:b/>
                <w:color w:val="000000"/>
                <w:sz w:val="21"/>
                <w:szCs w:val="21"/>
                <w:lang w:val="en-US" w:bidi="ar"/>
              </w:rPr>
              <w:t>商务部分（30分）</w:t>
            </w:r>
          </w:p>
        </w:tc>
        <w:tc>
          <w:tcPr>
            <w:tcW w:w="1072" w:type="dxa"/>
            <w:tcBorders>
              <w:tl2br w:val="nil"/>
              <w:tr2bl w:val="nil"/>
            </w:tcBorders>
            <w:tcMar>
              <w:top w:w="15" w:type="dxa"/>
              <w:left w:w="15" w:type="dxa"/>
              <w:right w:w="15" w:type="dxa"/>
            </w:tcMar>
            <w:vAlign w:val="center"/>
          </w:tcPr>
          <w:p>
            <w:pPr>
              <w:widowControl/>
              <w:jc w:val="center"/>
              <w:textAlignment w:val="center"/>
              <w:rPr>
                <w:color w:val="000000"/>
                <w:sz w:val="21"/>
                <w:szCs w:val="21"/>
              </w:rPr>
            </w:pPr>
            <w:r>
              <w:rPr>
                <w:rFonts w:hint="eastAsia"/>
                <w:color w:val="000000"/>
                <w:sz w:val="21"/>
                <w:szCs w:val="21"/>
                <w:lang w:val="en-US" w:bidi="ar"/>
              </w:rPr>
              <w:t>代理佣金占比</w:t>
            </w:r>
            <w:r>
              <w:rPr>
                <w:rFonts w:hint="eastAsia"/>
                <w:color w:val="000000"/>
                <w:sz w:val="21"/>
                <w:szCs w:val="21"/>
                <w:lang w:val="en-US" w:bidi="ar"/>
              </w:rPr>
              <w:br w:type="textWrapping"/>
            </w:r>
            <w:r>
              <w:rPr>
                <w:rFonts w:hint="eastAsia"/>
                <w:color w:val="000000"/>
                <w:sz w:val="21"/>
                <w:szCs w:val="21"/>
                <w:lang w:val="en-US" w:bidi="ar"/>
              </w:rPr>
              <w:t>（30分）</w:t>
            </w:r>
          </w:p>
        </w:tc>
        <w:tc>
          <w:tcPr>
            <w:tcW w:w="742" w:type="dxa"/>
            <w:tcBorders>
              <w:tl2br w:val="nil"/>
              <w:tr2bl w:val="nil"/>
            </w:tcBorders>
            <w:tcMar>
              <w:top w:w="15" w:type="dxa"/>
              <w:left w:w="15" w:type="dxa"/>
              <w:right w:w="15" w:type="dxa"/>
            </w:tcMar>
            <w:vAlign w:val="center"/>
          </w:tcPr>
          <w:p>
            <w:pPr>
              <w:jc w:val="center"/>
              <w:rPr>
                <w:sz w:val="20"/>
                <w:szCs w:val="20"/>
              </w:rPr>
            </w:pPr>
          </w:p>
        </w:tc>
        <w:tc>
          <w:tcPr>
            <w:tcW w:w="920" w:type="dxa"/>
            <w:tcBorders>
              <w:tl2br w:val="nil"/>
              <w:tr2bl w:val="nil"/>
            </w:tcBorders>
            <w:tcMar>
              <w:top w:w="15" w:type="dxa"/>
              <w:left w:w="15" w:type="dxa"/>
              <w:right w:w="15" w:type="dxa"/>
            </w:tcMar>
            <w:vAlign w:val="center"/>
          </w:tcPr>
          <w:p>
            <w:pPr>
              <w:jc w:val="center"/>
              <w:rPr>
                <w:color w:val="000000"/>
                <w:sz w:val="21"/>
                <w:szCs w:val="21"/>
              </w:rPr>
            </w:pPr>
          </w:p>
        </w:tc>
        <w:tc>
          <w:tcPr>
            <w:tcW w:w="6125" w:type="dxa"/>
            <w:tcBorders>
              <w:tl2br w:val="nil"/>
              <w:tr2bl w:val="nil"/>
            </w:tcBorders>
            <w:tcMar>
              <w:top w:w="15" w:type="dxa"/>
              <w:left w:w="15" w:type="dxa"/>
              <w:right w:w="15" w:type="dxa"/>
            </w:tcMar>
          </w:tcPr>
          <w:p>
            <w:pPr>
              <w:widowControl/>
              <w:textAlignment w:val="top"/>
              <w:rPr>
                <w:color w:val="000000"/>
                <w:sz w:val="21"/>
                <w:szCs w:val="21"/>
              </w:rPr>
            </w:pPr>
            <w:r>
              <w:rPr>
                <w:rFonts w:hint="eastAsia"/>
                <w:color w:val="000000"/>
                <w:sz w:val="21"/>
                <w:szCs w:val="21"/>
                <w:lang w:val="en-US" w:bidi="ar"/>
              </w:rPr>
              <w:t>1、代理佣金比例为：</w:t>
            </w:r>
            <w:r>
              <w:rPr>
                <w:rFonts w:hint="eastAsia"/>
                <w:color w:val="000000"/>
                <w:sz w:val="21"/>
                <w:szCs w:val="21"/>
                <w:u w:val="single"/>
                <w:lang w:val="en-US" w:eastAsia="zh-CN" w:bidi="ar"/>
              </w:rPr>
              <w:t>0.85</w:t>
            </w:r>
            <w:r>
              <w:rPr>
                <w:rFonts w:hint="eastAsia"/>
                <w:color w:val="000000"/>
                <w:sz w:val="21"/>
                <w:szCs w:val="21"/>
                <w:lang w:val="en-US" w:bidi="ar"/>
              </w:rPr>
              <w:t>%及以下时得30分、</w:t>
            </w:r>
            <w:r>
              <w:rPr>
                <w:rFonts w:hint="eastAsia"/>
                <w:color w:val="000000"/>
                <w:sz w:val="21"/>
                <w:szCs w:val="21"/>
                <w:u w:val="single"/>
                <w:lang w:val="en-US" w:eastAsia="zh-CN" w:bidi="ar"/>
              </w:rPr>
              <w:t>0.9</w:t>
            </w:r>
            <w:r>
              <w:rPr>
                <w:rFonts w:hint="eastAsia"/>
                <w:color w:val="000000"/>
                <w:sz w:val="21"/>
                <w:szCs w:val="21"/>
                <w:u w:val="single"/>
                <w:lang w:val="en-US" w:bidi="ar"/>
              </w:rPr>
              <w:t>%</w:t>
            </w:r>
            <w:r>
              <w:rPr>
                <w:rFonts w:hint="eastAsia"/>
                <w:color w:val="000000"/>
                <w:sz w:val="21"/>
                <w:szCs w:val="21"/>
                <w:lang w:val="en-US" w:bidi="ar"/>
              </w:rPr>
              <w:t>时得25分、</w:t>
            </w:r>
            <w:r>
              <w:rPr>
                <w:rFonts w:hint="eastAsia"/>
                <w:color w:val="000000"/>
                <w:sz w:val="21"/>
                <w:szCs w:val="21"/>
                <w:u w:val="single"/>
                <w:lang w:val="en-US" w:eastAsia="zh-CN" w:bidi="ar"/>
              </w:rPr>
              <w:t>0.95</w:t>
            </w:r>
            <w:r>
              <w:rPr>
                <w:rFonts w:hint="eastAsia"/>
                <w:color w:val="000000"/>
                <w:sz w:val="21"/>
                <w:szCs w:val="21"/>
                <w:u w:val="single"/>
                <w:lang w:val="en-US" w:bidi="ar"/>
              </w:rPr>
              <w:t>%</w:t>
            </w:r>
            <w:r>
              <w:rPr>
                <w:rFonts w:hint="eastAsia"/>
                <w:color w:val="000000"/>
                <w:sz w:val="21"/>
                <w:szCs w:val="21"/>
                <w:lang w:val="en-US" w:bidi="ar"/>
              </w:rPr>
              <w:t>时得20分、</w:t>
            </w:r>
            <w:r>
              <w:rPr>
                <w:rFonts w:hint="eastAsia"/>
                <w:color w:val="000000"/>
                <w:sz w:val="21"/>
                <w:szCs w:val="21"/>
                <w:u w:val="single"/>
                <w:lang w:val="en-US" w:eastAsia="zh-CN" w:bidi="ar"/>
              </w:rPr>
              <w:t>1</w:t>
            </w:r>
            <w:r>
              <w:rPr>
                <w:rFonts w:hint="eastAsia"/>
                <w:color w:val="000000"/>
                <w:sz w:val="21"/>
                <w:szCs w:val="21"/>
                <w:u w:val="single"/>
                <w:lang w:val="en-US" w:bidi="ar"/>
              </w:rPr>
              <w:t>%</w:t>
            </w:r>
            <w:r>
              <w:rPr>
                <w:rFonts w:hint="eastAsia"/>
                <w:color w:val="000000"/>
                <w:sz w:val="21"/>
                <w:szCs w:val="21"/>
                <w:lang w:val="en-US" w:bidi="ar"/>
              </w:rPr>
              <w:t>时得10分</w:t>
            </w:r>
            <w:r>
              <w:rPr>
                <w:rFonts w:hint="eastAsia"/>
                <w:sz w:val="21"/>
                <w:szCs w:val="21"/>
                <w:lang w:val="en-US" w:bidi="ar"/>
              </w:rPr>
              <w:t>。</w:t>
            </w:r>
            <w:r>
              <w:rPr>
                <w:rFonts w:hint="eastAsia"/>
                <w:color w:val="000000"/>
                <w:sz w:val="21"/>
                <w:szCs w:val="21"/>
                <w:lang w:val="en-US" w:bidi="ar"/>
              </w:rPr>
              <w:br w:type="textWrapping"/>
            </w:r>
            <w:r>
              <w:rPr>
                <w:rFonts w:hint="eastAsia"/>
                <w:color w:val="000000"/>
                <w:sz w:val="21"/>
                <w:szCs w:val="21"/>
                <w:lang w:val="en-US" w:bidi="ar"/>
              </w:rPr>
              <w:t>2、代理佣金指销售代理佣金（销售）。</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561" w:hRule="atLeast"/>
        </w:trPr>
        <w:tc>
          <w:tcPr>
            <w:tcW w:w="2875" w:type="dxa"/>
            <w:gridSpan w:val="3"/>
            <w:tcBorders>
              <w:tl2br w:val="nil"/>
              <w:tr2bl w:val="nil"/>
            </w:tcBorders>
            <w:tcMar>
              <w:top w:w="15" w:type="dxa"/>
              <w:left w:w="15" w:type="dxa"/>
              <w:right w:w="15" w:type="dxa"/>
            </w:tcMar>
            <w:vAlign w:val="center"/>
          </w:tcPr>
          <w:p>
            <w:pPr>
              <w:widowControl/>
              <w:jc w:val="center"/>
              <w:textAlignment w:val="center"/>
              <w:rPr>
                <w:b/>
                <w:color w:val="000000"/>
                <w:sz w:val="21"/>
                <w:szCs w:val="21"/>
              </w:rPr>
            </w:pPr>
            <w:r>
              <w:rPr>
                <w:rFonts w:hint="eastAsia"/>
                <w:b/>
                <w:color w:val="000000"/>
                <w:sz w:val="21"/>
                <w:szCs w:val="21"/>
                <w:lang w:val="en-US" w:bidi="ar"/>
              </w:rPr>
              <w:t>总计得分</w:t>
            </w:r>
          </w:p>
        </w:tc>
        <w:tc>
          <w:tcPr>
            <w:tcW w:w="920" w:type="dxa"/>
            <w:tcBorders>
              <w:tl2br w:val="nil"/>
              <w:tr2bl w:val="nil"/>
            </w:tcBorders>
            <w:tcMar>
              <w:top w:w="15" w:type="dxa"/>
              <w:left w:w="15" w:type="dxa"/>
              <w:right w:w="15" w:type="dxa"/>
            </w:tcMar>
            <w:vAlign w:val="center"/>
          </w:tcPr>
          <w:p>
            <w:pPr>
              <w:jc w:val="center"/>
              <w:rPr>
                <w:color w:val="000000"/>
                <w:sz w:val="21"/>
                <w:szCs w:val="21"/>
              </w:rPr>
            </w:pPr>
          </w:p>
        </w:tc>
        <w:tc>
          <w:tcPr>
            <w:tcW w:w="6125" w:type="dxa"/>
            <w:tcBorders>
              <w:tl2br w:val="nil"/>
              <w:tr2bl w:val="nil"/>
            </w:tcBorders>
            <w:tcMar>
              <w:top w:w="15" w:type="dxa"/>
              <w:left w:w="15" w:type="dxa"/>
              <w:right w:w="15" w:type="dxa"/>
            </w:tcMar>
          </w:tcPr>
          <w:p>
            <w:pPr>
              <w:rPr>
                <w:color w:val="000000"/>
                <w:sz w:val="21"/>
                <w:szCs w:val="21"/>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1618" w:hRule="atLeast"/>
        </w:trPr>
        <w:tc>
          <w:tcPr>
            <w:tcW w:w="9920" w:type="dxa"/>
            <w:gridSpan w:val="5"/>
            <w:tcBorders>
              <w:tl2br w:val="nil"/>
              <w:tr2bl w:val="nil"/>
            </w:tcBorders>
            <w:tcMar>
              <w:top w:w="15" w:type="dxa"/>
              <w:left w:w="15" w:type="dxa"/>
              <w:right w:w="15" w:type="dxa"/>
            </w:tcMar>
            <w:vAlign w:val="center"/>
          </w:tcPr>
          <w:p>
            <w:pPr>
              <w:widowControl/>
              <w:textAlignment w:val="center"/>
              <w:rPr>
                <w:b/>
                <w:color w:val="000000"/>
                <w:sz w:val="21"/>
                <w:szCs w:val="21"/>
              </w:rPr>
            </w:pPr>
            <w:r>
              <w:rPr>
                <w:rFonts w:hint="eastAsia"/>
                <w:b/>
                <w:color w:val="000000"/>
                <w:sz w:val="21"/>
                <w:szCs w:val="21"/>
                <w:lang w:val="en-US" w:bidi="ar"/>
              </w:rPr>
              <w:t>评委签字：</w:t>
            </w:r>
          </w:p>
        </w:tc>
      </w:tr>
    </w:tbl>
    <w:p/>
    <w:sectPr>
      <w:headerReference r:id="rId5" w:type="first"/>
      <w:footerReference r:id="rId8" w:type="first"/>
      <w:headerReference r:id="rId3" w:type="default"/>
      <w:footerReference r:id="rId6" w:type="default"/>
      <w:headerReference r:id="rId4" w:type="even"/>
      <w:footerReference r:id="rId7" w:type="even"/>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华文宋体">
    <w:altName w:val="宋体"/>
    <w:panose1 w:val="02010600040101010101"/>
    <w:charset w:val="86"/>
    <w:family w:val="auto"/>
    <w:pitch w:val="default"/>
    <w:sig w:usb0="00000000" w:usb1="00000000" w:usb2="00000000" w:usb3="00000000" w:csb0="0004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tabs>
        <w:tab w:val="clear" w:pos="4153"/>
      </w:tabs>
    </w:pPr>
    <w:r>
      <w:rPr>
        <w:lang w:val="en-US" w:bidi="ar-SA"/>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57785" cy="131445"/>
              <wp:effectExtent l="0" t="0" r="0" b="0"/>
              <wp:wrapNone/>
              <wp:docPr id="1" name="文本框 1"/>
              <wp:cNvGraphicFramePr/>
              <a:graphic xmlns:a="http://schemas.openxmlformats.org/drawingml/2006/main">
                <a:graphicData uri="http://schemas.microsoft.com/office/word/2010/wordprocessingShape">
                  <wps:wsp>
                    <wps:cNvSpPr txBox="1"/>
                    <wps:spPr>
                      <a:xfrm>
                        <a:off x="0" y="0"/>
                        <a:ext cx="57785" cy="131445"/>
                      </a:xfrm>
                      <a:prstGeom prst="rect">
                        <a:avLst/>
                      </a:prstGeom>
                      <a:noFill/>
                      <a:ln w="15875">
                        <a:noFill/>
                      </a:ln>
                    </wps:spPr>
                    <wps:txbx>
                      <w:txbxContent>
                        <w:p>
                          <w:pPr>
                            <w:pStyle w:val="5"/>
                          </w:pPr>
                          <w:r>
                            <w:rPr>
                              <w:rFonts w:hint="eastAsia"/>
                            </w:rPr>
                            <w:fldChar w:fldCharType="begin"/>
                          </w:r>
                          <w:r>
                            <w:rPr>
                              <w:rFonts w:hint="eastAsia"/>
                            </w:rPr>
                            <w:instrText xml:space="preserve"> PAGE  \* MERGEFORMAT </w:instrText>
                          </w:r>
                          <w:r>
                            <w:rPr>
                              <w:rFonts w:hint="eastAsia"/>
                            </w:rPr>
                            <w:fldChar w:fldCharType="separate"/>
                          </w:r>
                          <w:r>
                            <w:t>17</w:t>
                          </w:r>
                          <w:r>
                            <w:rPr>
                              <w:rFonts w:hint="eastAsia"/>
                            </w:rPr>
                            <w:fldChar w:fldCharType="end"/>
                          </w:r>
                        </w:p>
                      </w:txbxContent>
                    </wps:txbx>
                    <wps:bodyPr wrap="none" lIns="0" tIns="0" rIns="0" bIns="0">
                      <a:spAutoFit/>
                    </wps:bodyPr>
                  </wps:wsp>
                </a:graphicData>
              </a:graphic>
            </wp:anchor>
          </w:drawing>
        </mc:Choice>
        <mc:Fallback>
          <w:pict>
            <v:shape id="_x0000_s1026" o:spid="_x0000_s1026" o:spt="202" type="#_x0000_t202" style="position:absolute;left:0pt;margin-top:0pt;height:10.35pt;width:4.55pt;mso-position-horizontal:center;mso-position-horizontal-relative:margin;mso-wrap-style:none;z-index:251659264;mso-width-relative:page;mso-height-relative:page;" filled="f" stroked="f" coordsize="21600,21600" o:gfxdata="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&#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">
              <v:fill on="f" focussize="0,0"/>
              <v:stroke on="f" weight="1.25pt"/>
              <v:imagedata o:title=""/>
              <o:lock v:ext="edit" aspectratio="f"/>
              <v:textbox inset="0mm,0mm,0mm,0mm" style="mso-fit-shape-to-text:t;">
                <w:txbxContent>
                  <w:p>
                    <w:pPr>
                      <w:pStyle w:val="5"/>
                    </w:pPr>
                    <w:r>
                      <w:rPr>
                        <w:rFonts w:hint="eastAsia"/>
                      </w:rPr>
                      <w:fldChar w:fldCharType="begin"/>
                    </w:r>
                    <w:r>
                      <w:rPr>
                        <w:rFonts w:hint="eastAsia"/>
                      </w:rPr>
                      <w:instrText xml:space="preserve"> PAGE  \* MERGEFORMAT </w:instrText>
                    </w:r>
                    <w:r>
                      <w:rPr>
                        <w:rFonts w:hint="eastAsia"/>
                      </w:rPr>
                      <w:fldChar w:fldCharType="separate"/>
                    </w:r>
                    <w:r>
                      <w:t>17</w:t>
                    </w:r>
                    <w:r>
                      <w:rPr>
                        <w:rFonts w:hint="eastAsia"/>
                      </w:rP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Bdr>
        <w:bottom w:val="single" w:color="969696" w:sz="4" w:space="1"/>
      </w:pBdr>
      <w:jc w:val="center"/>
      <w:rPr>
        <w:rFonts w:eastAsia="华文宋体"/>
        <w:color w:val="000000"/>
        <w:lang w:val="en-US"/>
        <w14:textFill>
          <w14:solidFill>
            <w14:srgbClr w14:val="000000">
              <w14:alpha w14:val="10000"/>
            </w14:srgbClr>
          </w14:solidFill>
        </w14:textFill>
      </w:rPr>
    </w:pPr>
    <w:r>
      <w:rPr>
        <w:rFonts w:hint="eastAsia" w:eastAsia="华文宋体"/>
        <w:color w:val="000000"/>
        <w:lang w:val="en-US" w:eastAsia="zh-CN"/>
        <w14:textFill>
          <w14:solidFill>
            <w14:srgbClr w14:val="000000">
              <w14:alpha w14:val="10000"/>
            </w14:srgbClr>
          </w14:solidFill>
        </w14:textFill>
      </w:rPr>
      <w:t>城建·世纪阳江（住宅部分）销售代理服务招标书</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354C2F6"/>
    <w:multiLevelType w:val="singleLevel"/>
    <w:tmpl w:val="9354C2F6"/>
    <w:lvl w:ilvl="0" w:tentative="0">
      <w:start w:val="6"/>
      <w:numFmt w:val="chineseCounting"/>
      <w:suff w:val="nothing"/>
      <w:lvlText w:val="%1、"/>
      <w:lvlJc w:val="left"/>
      <w:rPr>
        <w:rFonts w:hint="eastAsia"/>
      </w:rPr>
    </w:lvl>
  </w:abstractNum>
  <w:abstractNum w:abstractNumId="1">
    <w:nsid w:val="DDC8DDAD"/>
    <w:multiLevelType w:val="singleLevel"/>
    <w:tmpl w:val="DDC8DDAD"/>
    <w:lvl w:ilvl="0" w:tentative="0">
      <w:start w:val="1"/>
      <w:numFmt w:val="lowerLetter"/>
      <w:lvlText w:val="%1."/>
      <w:lvlJc w:val="left"/>
      <w:pPr>
        <w:tabs>
          <w:tab w:val="left" w:pos="312"/>
        </w:tabs>
      </w:pPr>
    </w:lvl>
  </w:abstractNum>
  <w:abstractNum w:abstractNumId="2">
    <w:nsid w:val="1774AB20"/>
    <w:multiLevelType w:val="singleLevel"/>
    <w:tmpl w:val="1774AB20"/>
    <w:lvl w:ilvl="0" w:tentative="0">
      <w:start w:val="2"/>
      <w:numFmt w:val="decimal"/>
      <w:suff w:val="nothing"/>
      <w:lvlText w:val="（%1）"/>
      <w:lvlJc w:val="left"/>
    </w:lvl>
  </w:abstractNum>
  <w:abstractNum w:abstractNumId="3">
    <w:nsid w:val="58A2800F"/>
    <w:multiLevelType w:val="singleLevel"/>
    <w:tmpl w:val="58A2800F"/>
    <w:lvl w:ilvl="0" w:tentative="0">
      <w:start w:val="1"/>
      <w:numFmt w:val="decimal"/>
      <w:suff w:val="nothing"/>
      <w:lvlText w:val="%1、"/>
      <w:lvlJc w:val="left"/>
    </w:lvl>
  </w:abstractNum>
  <w:abstractNum w:abstractNumId="4">
    <w:nsid w:val="6588E9C2"/>
    <w:multiLevelType w:val="singleLevel"/>
    <w:tmpl w:val="6588E9C2"/>
    <w:lvl w:ilvl="0" w:tentative="0">
      <w:start w:val="4"/>
      <w:numFmt w:val="chineseCounting"/>
      <w:suff w:val="nothing"/>
      <w:lvlText w:val="%1、"/>
      <w:lvlJc w:val="left"/>
      <w:rPr>
        <w:rFonts w:hint="eastAsia"/>
      </w:rPr>
    </w:lvl>
  </w:abstractNum>
  <w:abstractNum w:abstractNumId="5">
    <w:nsid w:val="65D586AC"/>
    <w:multiLevelType w:val="singleLevel"/>
    <w:tmpl w:val="65D586AC"/>
    <w:lvl w:ilvl="0" w:tentative="0">
      <w:start w:val="1"/>
      <w:numFmt w:val="lowerLetter"/>
      <w:lvlText w:val="%1."/>
      <w:lvlJc w:val="left"/>
      <w:pPr>
        <w:tabs>
          <w:tab w:val="left" w:pos="312"/>
        </w:tabs>
      </w:pPr>
    </w:lvl>
  </w:abstractNum>
  <w:num w:numId="1">
    <w:abstractNumId w:val="4"/>
  </w:num>
  <w:num w:numId="2">
    <w:abstractNumId w:val="2"/>
  </w:num>
  <w:num w:numId="3">
    <w:abstractNumId w:val="5"/>
  </w:num>
  <w:num w:numId="4">
    <w:abstractNumId w:val="1"/>
  </w:num>
  <w:num w:numId="5">
    <w:abstractNumId w:val="0"/>
  </w:num>
  <w:num w:numId="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462D4"/>
    <w:rsid w:val="000651C4"/>
    <w:rsid w:val="00417D48"/>
    <w:rsid w:val="00440A64"/>
    <w:rsid w:val="005A723E"/>
    <w:rsid w:val="006C0D27"/>
    <w:rsid w:val="00707110"/>
    <w:rsid w:val="007A4931"/>
    <w:rsid w:val="00AD31B9"/>
    <w:rsid w:val="00B2297B"/>
    <w:rsid w:val="00C11B15"/>
    <w:rsid w:val="00C462D4"/>
    <w:rsid w:val="02E211A2"/>
    <w:rsid w:val="041A06AF"/>
    <w:rsid w:val="075959AD"/>
    <w:rsid w:val="0F024CF3"/>
    <w:rsid w:val="138C6C74"/>
    <w:rsid w:val="14A515F2"/>
    <w:rsid w:val="1F8716CE"/>
    <w:rsid w:val="1F9D63D6"/>
    <w:rsid w:val="26401E71"/>
    <w:rsid w:val="26FF470B"/>
    <w:rsid w:val="270025D0"/>
    <w:rsid w:val="339D0118"/>
    <w:rsid w:val="3BAC5D94"/>
    <w:rsid w:val="3C654B84"/>
    <w:rsid w:val="45EB56AE"/>
    <w:rsid w:val="520F64C7"/>
    <w:rsid w:val="5B0264EE"/>
    <w:rsid w:val="5C010A80"/>
    <w:rsid w:val="607F28C9"/>
    <w:rsid w:val="647429FF"/>
    <w:rsid w:val="6963719D"/>
    <w:rsid w:val="698C7428"/>
    <w:rsid w:val="6B585813"/>
    <w:rsid w:val="742C65DF"/>
    <w:rsid w:val="74C05A65"/>
    <w:rsid w:val="74FB343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qFormat="1" w:unhideWhenUsed="0" w:uiPriority="0"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0"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nhideWhenUsed="0" w:uiPriority="0" w:semiHidden="0" w:name="header"/>
    <w:lsdException w:qFormat="1" w:unhideWhenUsed="0"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1"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qFormat="1" w:unhideWhenUsed="0" w:uiPriority="0"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0"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1"/>
    <w:pPr>
      <w:widowControl w:val="0"/>
      <w:autoSpaceDE w:val="0"/>
      <w:autoSpaceDN w:val="0"/>
    </w:pPr>
    <w:rPr>
      <w:rFonts w:ascii="宋体" w:hAnsi="宋体" w:eastAsia="宋体" w:cs="宋体"/>
      <w:kern w:val="0"/>
      <w:sz w:val="22"/>
      <w:szCs w:val="22"/>
      <w:lang w:val="zh-CN" w:eastAsia="zh-CN" w:bidi="zh-CN"/>
    </w:rPr>
  </w:style>
  <w:style w:type="character" w:default="1" w:styleId="10">
    <w:name w:val="Default Paragraph Font"/>
    <w:semiHidden/>
    <w:unhideWhenUsed/>
    <w:qFormat/>
    <w:uiPriority w:val="1"/>
  </w:style>
  <w:style w:type="table" w:default="1" w:styleId="9">
    <w:name w:val="Normal Table"/>
    <w:semiHidden/>
    <w:unhideWhenUsed/>
    <w:qFormat/>
    <w:uiPriority w:val="99"/>
    <w:tblPr>
      <w:tblCellMar>
        <w:top w:w="0" w:type="dxa"/>
        <w:left w:w="108" w:type="dxa"/>
        <w:bottom w:w="0" w:type="dxa"/>
        <w:right w:w="108" w:type="dxa"/>
      </w:tblCellMar>
    </w:tblPr>
  </w:style>
  <w:style w:type="paragraph" w:styleId="2">
    <w:name w:val="Body Text First Indent 2"/>
    <w:basedOn w:val="3"/>
    <w:qFormat/>
    <w:uiPriority w:val="0"/>
    <w:pPr>
      <w:ind w:firstLine="420" w:firstLineChars="200"/>
    </w:pPr>
    <w:rPr>
      <w:rFonts w:ascii="仿宋_GB2312"/>
    </w:rPr>
  </w:style>
  <w:style w:type="paragraph" w:styleId="3">
    <w:name w:val="Body Text Indent"/>
    <w:basedOn w:val="1"/>
    <w:qFormat/>
    <w:uiPriority w:val="0"/>
    <w:pPr>
      <w:ind w:firstLine="645"/>
    </w:pPr>
    <w:rPr>
      <w:rFonts w:ascii="Arial" w:hAnsi="Arial" w:eastAsia="仿宋_GB2312"/>
      <w:sz w:val="28"/>
    </w:rPr>
  </w:style>
  <w:style w:type="paragraph" w:styleId="4">
    <w:name w:val="Body Text"/>
    <w:basedOn w:val="1"/>
    <w:link w:val="12"/>
    <w:qFormat/>
    <w:uiPriority w:val="1"/>
    <w:rPr>
      <w:sz w:val="21"/>
      <w:szCs w:val="21"/>
    </w:rPr>
  </w:style>
  <w:style w:type="paragraph" w:styleId="5">
    <w:name w:val="footer"/>
    <w:basedOn w:val="1"/>
    <w:link w:val="13"/>
    <w:qFormat/>
    <w:uiPriority w:val="0"/>
    <w:pPr>
      <w:tabs>
        <w:tab w:val="center" w:pos="4153"/>
        <w:tab w:val="right" w:pos="8306"/>
      </w:tabs>
      <w:snapToGrid w:val="0"/>
    </w:pPr>
    <w:rPr>
      <w:sz w:val="18"/>
      <w:szCs w:val="18"/>
    </w:rPr>
  </w:style>
  <w:style w:type="paragraph" w:styleId="6">
    <w:name w:val="header"/>
    <w:basedOn w:val="1"/>
    <w:link w:val="14"/>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jc w:val="both"/>
    </w:pPr>
    <w:rPr>
      <w:sz w:val="18"/>
    </w:rPr>
  </w:style>
  <w:style w:type="paragraph" w:styleId="7">
    <w:name w:val="toc 1"/>
    <w:basedOn w:val="8"/>
    <w:next w:val="1"/>
    <w:semiHidden/>
    <w:qFormat/>
    <w:uiPriority w:val="0"/>
    <w:rPr>
      <w:rFonts w:eastAsia="黑体"/>
      <w:sz w:val="28"/>
    </w:rPr>
  </w:style>
  <w:style w:type="paragraph" w:styleId="8">
    <w:name w:val="index 1"/>
    <w:basedOn w:val="1"/>
    <w:next w:val="1"/>
    <w:semiHidden/>
    <w:qFormat/>
    <w:uiPriority w:val="0"/>
    <w:rPr>
      <w:rFonts w:eastAsia="仿宋_GB2312"/>
      <w:b/>
      <w:sz w:val="24"/>
    </w:rPr>
  </w:style>
  <w:style w:type="character" w:styleId="11">
    <w:name w:val="Hyperlink"/>
    <w:qFormat/>
    <w:uiPriority w:val="0"/>
    <w:rPr>
      <w:color w:val="0000FF"/>
      <w:u w:val="single"/>
    </w:rPr>
  </w:style>
  <w:style w:type="character" w:customStyle="1" w:styleId="12">
    <w:name w:val="正文文本 Char"/>
    <w:basedOn w:val="10"/>
    <w:link w:val="4"/>
    <w:qFormat/>
    <w:uiPriority w:val="1"/>
    <w:rPr>
      <w:rFonts w:ascii="宋体" w:hAnsi="宋体" w:eastAsia="宋体" w:cs="宋体"/>
      <w:kern w:val="0"/>
      <w:szCs w:val="21"/>
      <w:lang w:val="zh-CN" w:bidi="zh-CN"/>
    </w:rPr>
  </w:style>
  <w:style w:type="character" w:customStyle="1" w:styleId="13">
    <w:name w:val="页脚 Char"/>
    <w:basedOn w:val="10"/>
    <w:link w:val="5"/>
    <w:qFormat/>
    <w:uiPriority w:val="0"/>
    <w:rPr>
      <w:rFonts w:ascii="宋体" w:hAnsi="宋体" w:eastAsia="宋体" w:cs="宋体"/>
      <w:kern w:val="0"/>
      <w:sz w:val="18"/>
      <w:szCs w:val="18"/>
      <w:lang w:val="zh-CN" w:bidi="zh-CN"/>
    </w:rPr>
  </w:style>
  <w:style w:type="character" w:customStyle="1" w:styleId="14">
    <w:name w:val="页眉 Char"/>
    <w:basedOn w:val="10"/>
    <w:link w:val="6"/>
    <w:qFormat/>
    <w:uiPriority w:val="0"/>
    <w:rPr>
      <w:rFonts w:ascii="宋体" w:hAnsi="宋体" w:eastAsia="宋体" w:cs="宋体"/>
      <w:kern w:val="0"/>
      <w:sz w:val="18"/>
      <w:lang w:val="zh-CN" w:bidi="zh-CN"/>
    </w:rPr>
  </w:style>
  <w:style w:type="paragraph" w:customStyle="1" w:styleId="15">
    <w:name w:val="WPSOffice手动目录 1"/>
    <w:qFormat/>
    <w:uiPriority w:val="0"/>
    <w:rPr>
      <w:rFonts w:ascii="Calibri" w:hAnsi="Calibri" w:eastAsia="宋体" w:cs="Times New Roman"/>
      <w:kern w:val="0"/>
      <w:sz w:val="20"/>
      <w:szCs w:val="20"/>
      <w:lang w:val="en-US" w:eastAsia="zh-CN" w:bidi="ar-SA"/>
    </w:rPr>
  </w:style>
  <w:style w:type="paragraph" w:customStyle="1" w:styleId="16">
    <w:name w:val="WPSOffice手动目录 2"/>
    <w:qFormat/>
    <w:uiPriority w:val="0"/>
    <w:pPr>
      <w:ind w:left="200" w:leftChars="200"/>
    </w:pPr>
    <w:rPr>
      <w:rFonts w:ascii="Calibri" w:hAnsi="Calibri" w:eastAsia="宋体" w:cs="Times New Roman"/>
      <w:kern w:val="0"/>
      <w:sz w:val="20"/>
      <w:szCs w:val="20"/>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customXml" Target="../customXml/item2.xml"/><Relationship Id="rId11" Type="http://schemas.openxmlformats.org/officeDocument/2006/relationships/numbering" Target="numbering.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BA136CCB-B87D-4D43-A445-E49CC671400D}">
  <ds:schemaRefs/>
</ds:datastoreItem>
</file>

<file path=docProps/app.xml><?xml version="1.0" encoding="utf-8"?>
<Properties xmlns="http://schemas.openxmlformats.org/officeDocument/2006/extended-properties" xmlns:vt="http://schemas.openxmlformats.org/officeDocument/2006/docPropsVTypes">
  <Template>Normal</Template>
  <Pages>17</Pages>
  <Words>1396</Words>
  <Characters>7961</Characters>
  <Lines>66</Lines>
  <Paragraphs>18</Paragraphs>
  <TotalTime>0</TotalTime>
  <ScaleCrop>false</ScaleCrop>
  <LinksUpToDate>false</LinksUpToDate>
  <CharactersWithSpaces>9339</CharactersWithSpaces>
  <Application>WPS Office_11.1.0.10700_F1E327BC-269C-435d-A152-05C5408002CA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2021-07-20T10:17:00Z</dcterms:created>
  <dc:creator>Windows 用户</dc:creator>
  <cp:lastModifiedBy>牛牛</cp:lastModifiedBy>
  <dcterms:modified xsi:type="dcterms:W3CDTF">2021-08-18T01:02:12Z</dcterms:modified>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2052-11.1.0.10700</vt:lpwstr>
  </property>
  <property fmtid="{D5CDD505-2E9C-101B-9397-08002B2CF9AE}" pid="3" name="ICV">
    <vt:lpwstr>64E3543B90EC40819141D8A0C1941A72</vt:lpwstr>
  </property>
</Properties>
</file>